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gridCol w:w="1271"/>
      </w:tblGrid>
      <w:tr w:rsidR="00E36548" w:rsidRPr="004D26C0" w14:paraId="72621B8F" w14:textId="77777777" w:rsidTr="00B45B7D">
        <w:trPr>
          <w:gridAfter w:val="1"/>
          <w:wAfter w:w="1271" w:type="dxa"/>
        </w:trPr>
        <w:tc>
          <w:tcPr>
            <w:tcW w:w="9214" w:type="dxa"/>
          </w:tcPr>
          <w:p w14:paraId="3E61921E" w14:textId="77777777" w:rsidR="00E36548" w:rsidRDefault="00E36548" w:rsidP="00B45B7D">
            <w:pPr>
              <w:spacing w:before="0" w:beforeAutospacing="0" w:after="0" w:afterAutospacing="0"/>
              <w:ind w:right="-109"/>
              <w:rPr>
                <w:b/>
                <w:bCs/>
                <w:szCs w:val="22"/>
              </w:rPr>
            </w:pPr>
          </w:p>
          <w:p w14:paraId="55136A6E" w14:textId="77777777" w:rsidR="00FA14D5" w:rsidRDefault="00FA14D5" w:rsidP="00B45B7D">
            <w:pPr>
              <w:spacing w:before="0" w:beforeAutospacing="0" w:after="0" w:afterAutospacing="0"/>
              <w:ind w:right="-109"/>
              <w:rPr>
                <w:b/>
                <w:bCs/>
                <w:szCs w:val="22"/>
              </w:rPr>
            </w:pPr>
          </w:p>
          <w:p w14:paraId="402F51CE" w14:textId="6DFE6FC9" w:rsidR="00E36548" w:rsidRPr="004D26C0" w:rsidRDefault="00E36548" w:rsidP="00B45B7D">
            <w:pPr>
              <w:spacing w:before="0" w:beforeAutospacing="0" w:after="0" w:afterAutospacing="0"/>
              <w:ind w:right="-109"/>
              <w:rPr>
                <w:b/>
                <w:bCs/>
                <w:szCs w:val="22"/>
              </w:rPr>
            </w:pPr>
            <w:r w:rsidRPr="00BC08C2">
              <w:rPr>
                <w:b/>
                <w:bCs/>
                <w:szCs w:val="22"/>
              </w:rPr>
              <w:t xml:space="preserve">Rapport </w:t>
            </w:r>
            <w:r>
              <w:rPr>
                <w:b/>
                <w:bCs/>
                <w:szCs w:val="22"/>
              </w:rPr>
              <w:t>du</w:t>
            </w:r>
            <w:r w:rsidRPr="00BC08C2">
              <w:rPr>
                <w:b/>
                <w:bCs/>
                <w:szCs w:val="22"/>
              </w:rPr>
              <w:t xml:space="preserve"> commissaire aux comptes, désigné organisme tiers indépendant, sur la </w:t>
            </w:r>
            <w:r>
              <w:rPr>
                <w:b/>
                <w:bCs/>
                <w:szCs w:val="22"/>
              </w:rPr>
              <w:t xml:space="preserve">vérification de la </w:t>
            </w:r>
            <w:r w:rsidRPr="00BC08C2">
              <w:rPr>
                <w:b/>
                <w:bCs/>
                <w:szCs w:val="22"/>
              </w:rPr>
              <w:t>déclaration</w:t>
            </w:r>
            <w:bookmarkStart w:id="0" w:name="_Ref87990274"/>
            <w:r w:rsidRPr="00BC08C2">
              <w:rPr>
                <w:rStyle w:val="Appelnotedebasdep"/>
                <w:bCs/>
                <w:szCs w:val="22"/>
              </w:rPr>
              <w:footnoteReference w:id="1"/>
            </w:r>
            <w:bookmarkEnd w:id="0"/>
            <w:r w:rsidRPr="00BC08C2">
              <w:rPr>
                <w:b/>
                <w:bCs/>
                <w:szCs w:val="22"/>
              </w:rPr>
              <w:t xml:space="preserve"> de performance extra-financière</w:t>
            </w:r>
          </w:p>
        </w:tc>
      </w:tr>
      <w:tr w:rsidR="00E36548" w:rsidRPr="00CB6DC5" w14:paraId="00229C71" w14:textId="77777777" w:rsidTr="00B45B7D">
        <w:trPr>
          <w:gridAfter w:val="1"/>
          <w:wAfter w:w="1271" w:type="dxa"/>
        </w:trPr>
        <w:tc>
          <w:tcPr>
            <w:tcW w:w="9214" w:type="dxa"/>
          </w:tcPr>
          <w:p w14:paraId="38C820FB" w14:textId="77777777" w:rsidR="00E36548" w:rsidRDefault="00E36548" w:rsidP="00B45B7D">
            <w:pPr>
              <w:spacing w:before="120" w:beforeAutospacing="0" w:after="120" w:afterAutospacing="0"/>
              <w:jc w:val="center"/>
            </w:pPr>
          </w:p>
          <w:p w14:paraId="70A6038A" w14:textId="77777777" w:rsidR="00E36548" w:rsidRDefault="00E36548" w:rsidP="00B45B7D">
            <w:pPr>
              <w:spacing w:before="120" w:beforeAutospacing="0" w:after="120" w:afterAutospacing="0"/>
              <w:jc w:val="center"/>
            </w:pPr>
          </w:p>
          <w:p w14:paraId="2BE2B47A" w14:textId="77777777" w:rsidR="00E36548" w:rsidRDefault="00E36548" w:rsidP="00B45B7D">
            <w:pPr>
              <w:spacing w:before="120" w:beforeAutospacing="0" w:after="120" w:afterAutospacing="0"/>
              <w:jc w:val="center"/>
            </w:pPr>
          </w:p>
          <w:p w14:paraId="3332832A" w14:textId="77777777" w:rsidR="00E36548" w:rsidRDefault="00E36548" w:rsidP="00B45B7D">
            <w:pPr>
              <w:spacing w:before="120" w:beforeAutospacing="0" w:after="120" w:afterAutospacing="0"/>
              <w:jc w:val="center"/>
            </w:pPr>
            <w:r w:rsidRPr="00333C51">
              <w:t xml:space="preserve">Exercice clos le … </w:t>
            </w:r>
          </w:p>
          <w:p w14:paraId="33DEA9BE" w14:textId="77777777" w:rsidR="00E36548" w:rsidRPr="00CB6DC5" w:rsidRDefault="00E36548" w:rsidP="00B45B7D">
            <w:pPr>
              <w:spacing w:before="120" w:beforeAutospacing="0" w:after="120" w:afterAutospacing="0"/>
              <w:jc w:val="center"/>
            </w:pPr>
          </w:p>
        </w:tc>
      </w:tr>
      <w:tr w:rsidR="00E36548" w:rsidRPr="004D26C0" w14:paraId="268BDF18" w14:textId="77777777" w:rsidTr="00B45B7D">
        <w:trPr>
          <w:gridAfter w:val="1"/>
          <w:wAfter w:w="1271" w:type="dxa"/>
        </w:trPr>
        <w:tc>
          <w:tcPr>
            <w:tcW w:w="9214" w:type="dxa"/>
          </w:tcPr>
          <w:p w14:paraId="4AD85A4A" w14:textId="77777777" w:rsidR="00E36548" w:rsidRPr="00995614" w:rsidRDefault="00E36548" w:rsidP="00B45B7D">
            <w:pPr>
              <w:overflowPunct w:val="0"/>
              <w:spacing w:before="120" w:beforeAutospacing="0"/>
              <w:textAlignment w:val="baseline"/>
              <w:rPr>
                <w:szCs w:val="22"/>
              </w:rPr>
            </w:pPr>
            <w:r w:rsidRPr="00995614">
              <w:rPr>
                <w:szCs w:val="22"/>
              </w:rPr>
              <w:t>A …. (</w:t>
            </w:r>
            <w:proofErr w:type="gramStart"/>
            <w:r w:rsidRPr="00995614">
              <w:rPr>
                <w:i/>
                <w:szCs w:val="22"/>
              </w:rPr>
              <w:t>organe</w:t>
            </w:r>
            <w:proofErr w:type="gramEnd"/>
            <w:r w:rsidRPr="00995614">
              <w:rPr>
                <w:i/>
                <w:szCs w:val="22"/>
              </w:rPr>
              <w:t xml:space="preserve"> appelé à statuer sur les comptes</w:t>
            </w:r>
            <w:r w:rsidRPr="00995614">
              <w:rPr>
                <w:szCs w:val="22"/>
              </w:rPr>
              <w:t>),</w:t>
            </w:r>
          </w:p>
          <w:p w14:paraId="690CAE69" w14:textId="02272EE7" w:rsidR="00E36548" w:rsidRPr="00995614" w:rsidRDefault="00E36548" w:rsidP="00B45B7D">
            <w:pPr>
              <w:pStyle w:val="Texte"/>
              <w:spacing w:after="120" w:line="240" w:lineRule="auto"/>
              <w:ind w:right="-106"/>
              <w:jc w:val="both"/>
              <w:rPr>
                <w:rFonts w:ascii="Times New Roman" w:hAnsi="Times New Roman"/>
                <w:sz w:val="22"/>
                <w:szCs w:val="22"/>
              </w:rPr>
            </w:pPr>
            <w:r w:rsidRPr="00995614">
              <w:rPr>
                <w:rFonts w:ascii="Times New Roman" w:hAnsi="Times New Roman"/>
                <w:sz w:val="22"/>
                <w:szCs w:val="22"/>
              </w:rPr>
              <w:t>En notre qualité de commissaire aux comptes de votre … [</w:t>
            </w:r>
            <w:r w:rsidRPr="5E9B4F37">
              <w:rPr>
                <w:rFonts w:ascii="Times New Roman" w:hAnsi="Times New Roman"/>
                <w:i/>
                <w:sz w:val="22"/>
                <w:szCs w:val="22"/>
              </w:rPr>
              <w:t xml:space="preserve">préciser </w:t>
            </w:r>
            <w:r w:rsidRPr="00995614">
              <w:rPr>
                <w:rFonts w:ascii="Times New Roman" w:hAnsi="Times New Roman"/>
                <w:sz w:val="22"/>
                <w:szCs w:val="22"/>
              </w:rPr>
              <w:t>: société, mutuelle, … (ci-après « entité »)]</w:t>
            </w:r>
            <w:r w:rsidRPr="00995614">
              <w:rPr>
                <w:rStyle w:val="Appelnotedebasdep"/>
                <w:rFonts w:ascii="Times New Roman" w:hAnsi="Times New Roman"/>
                <w:sz w:val="22"/>
                <w:szCs w:val="22"/>
              </w:rPr>
              <w:footnoteReference w:id="2"/>
            </w:r>
            <w:r w:rsidRPr="00995614">
              <w:rPr>
                <w:rFonts w:ascii="Times New Roman" w:hAnsi="Times New Roman"/>
                <w:sz w:val="22"/>
                <w:szCs w:val="22"/>
              </w:rPr>
              <w:t xml:space="preserve"> désigné organisme tiers indépendant (« tierce partie »), accrédité</w:t>
            </w:r>
            <w:r w:rsidRPr="00995614">
              <w:rPr>
                <w:rStyle w:val="Appelnotedebasdep"/>
                <w:rFonts w:ascii="Times New Roman" w:hAnsi="Times New Roman"/>
                <w:sz w:val="22"/>
                <w:szCs w:val="22"/>
              </w:rPr>
              <w:footnoteReference w:id="3"/>
            </w:r>
            <w:r w:rsidRPr="00995614">
              <w:rPr>
                <w:rFonts w:ascii="Times New Roman" w:hAnsi="Times New Roman"/>
                <w:sz w:val="22"/>
                <w:szCs w:val="22"/>
              </w:rPr>
              <w:t xml:space="preserve"> par Cofrac Inspection, </w:t>
            </w:r>
            <w:proofErr w:type="spellStart"/>
            <w:r w:rsidRPr="00995614">
              <w:rPr>
                <w:rFonts w:ascii="Times New Roman" w:hAnsi="Times New Roman"/>
                <w:sz w:val="22"/>
                <w:szCs w:val="22"/>
              </w:rPr>
              <w:t>n°X_XXXX</w:t>
            </w:r>
            <w:proofErr w:type="spellEnd"/>
            <w:r>
              <w:rPr>
                <w:rFonts w:ascii="Times New Roman" w:hAnsi="Times New Roman"/>
                <w:sz w:val="22"/>
                <w:szCs w:val="22"/>
              </w:rPr>
              <w:t xml:space="preserve"> (</w:t>
            </w:r>
            <w:r w:rsidRPr="00995614">
              <w:rPr>
                <w:rFonts w:ascii="Times New Roman" w:hAnsi="Times New Roman"/>
                <w:sz w:val="22"/>
                <w:szCs w:val="22"/>
              </w:rPr>
              <w:t xml:space="preserve">portée disponible sur </w:t>
            </w:r>
            <w:hyperlink r:id="rId7" w:history="1">
              <w:r w:rsidRPr="00995614">
                <w:rPr>
                  <w:rStyle w:val="Lienhypertexte"/>
                  <w:rFonts w:ascii="Times New Roman" w:eastAsiaTheme="majorEastAsia" w:hAnsi="Times New Roman"/>
                  <w:sz w:val="22"/>
                  <w:szCs w:val="22"/>
                </w:rPr>
                <w:t>www.cofrac.fr</w:t>
              </w:r>
            </w:hyperlink>
            <w:r w:rsidRPr="00995614">
              <w:rPr>
                <w:rFonts w:ascii="Times New Roman" w:hAnsi="Times New Roman"/>
                <w:sz w:val="22"/>
                <w:szCs w:val="22"/>
              </w:rPr>
              <w:t>), nous avons mené des travaux visant à formuler un avis motivé exprimant une conclusion d’assurance modérée sur les informations historiques (constatées ou extrapolées) de la déclaration</w:t>
            </w:r>
            <w:r w:rsidRPr="5E9B4F37">
              <w:rPr>
                <w:vertAlign w:val="superscript"/>
              </w:rPr>
              <w:fldChar w:fldCharType="begin"/>
            </w:r>
            <w:r w:rsidRPr="00995614">
              <w:rPr>
                <w:rFonts w:ascii="Times New Roman" w:hAnsi="Times New Roman"/>
                <w:sz w:val="22"/>
                <w:szCs w:val="22"/>
                <w:vertAlign w:val="superscript"/>
              </w:rPr>
              <w:instrText xml:space="preserve"> NOTEREF _Ref87990274 \h </w:instrText>
            </w:r>
            <w:r w:rsidRPr="5E9B4F37">
              <w:rPr>
                <w:vertAlign w:val="superscript"/>
              </w:rPr>
              <w:instrText xml:space="preserve"> \* MERGEFORMAT </w:instrText>
            </w:r>
            <w:r w:rsidRPr="5E9B4F37">
              <w:rPr>
                <w:vertAlign w:val="superscript"/>
              </w:rPr>
            </w:r>
            <w:r w:rsidRPr="5E9B4F37">
              <w:rPr>
                <w:vertAlign w:val="superscript"/>
              </w:rPr>
              <w:fldChar w:fldCharType="separate"/>
            </w:r>
            <w:r w:rsidR="00F62F8E">
              <w:rPr>
                <w:rFonts w:ascii="Times New Roman" w:hAnsi="Times New Roman"/>
                <w:sz w:val="22"/>
                <w:szCs w:val="22"/>
                <w:vertAlign w:val="superscript"/>
              </w:rPr>
              <w:t>1</w:t>
            </w:r>
            <w:r w:rsidRPr="5E9B4F37">
              <w:rPr>
                <w:vertAlign w:val="superscript"/>
              </w:rPr>
              <w:fldChar w:fldCharType="end"/>
            </w:r>
            <w:r w:rsidRPr="00995614">
              <w:rPr>
                <w:rFonts w:ascii="Times New Roman" w:hAnsi="Times New Roman"/>
                <w:sz w:val="22"/>
                <w:szCs w:val="22"/>
              </w:rPr>
              <w:t xml:space="preserve"> de performance extra</w:t>
            </w:r>
            <w:r>
              <w:rPr>
                <w:rFonts w:ascii="Times New Roman" w:hAnsi="Times New Roman"/>
                <w:sz w:val="22"/>
                <w:szCs w:val="22"/>
              </w:rPr>
              <w:t>-</w:t>
            </w:r>
            <w:r w:rsidRPr="00995614">
              <w:rPr>
                <w:rFonts w:ascii="Times New Roman" w:hAnsi="Times New Roman"/>
                <w:sz w:val="22"/>
                <w:szCs w:val="22"/>
              </w:rPr>
              <w:t xml:space="preserve">financière, préparées selon les </w:t>
            </w:r>
            <w:r w:rsidRPr="00995614">
              <w:rPr>
                <w:rFonts w:ascii="Times New Roman" w:hAnsi="Times New Roman"/>
                <w:color w:val="000000" w:themeColor="text1"/>
                <w:sz w:val="22"/>
                <w:szCs w:val="22"/>
              </w:rPr>
              <w:t>procédures de l’entité (ci-après le « Référentiel »),</w:t>
            </w:r>
            <w:r w:rsidRPr="00995614">
              <w:rPr>
                <w:rFonts w:ascii="Times New Roman" w:hAnsi="Times New Roman"/>
                <w:sz w:val="22"/>
                <w:szCs w:val="22"/>
              </w:rPr>
              <w:t xml:space="preserve"> pour l’exercice clos le … (ci-après respectivement les </w:t>
            </w:r>
            <w:r w:rsidRPr="00BD3B94">
              <w:rPr>
                <w:rFonts w:ascii="Times New Roman" w:hAnsi="Times New Roman"/>
                <w:sz w:val="22"/>
                <w:szCs w:val="22"/>
              </w:rPr>
              <w:t>« Informations</w:t>
            </w:r>
            <w:r w:rsidRPr="00995614">
              <w:rPr>
                <w:rFonts w:ascii="Times New Roman" w:hAnsi="Times New Roman"/>
                <w:sz w:val="22"/>
                <w:szCs w:val="22"/>
              </w:rPr>
              <w:t> » et la « Déclaration »), présentées dans le rapport de gestion</w:t>
            </w:r>
            <w:r w:rsidRPr="00995614">
              <w:rPr>
                <w:rStyle w:val="Appelnotedebasdep"/>
                <w:rFonts w:ascii="Times New Roman" w:hAnsi="Times New Roman"/>
                <w:sz w:val="22"/>
                <w:szCs w:val="22"/>
              </w:rPr>
              <w:footnoteReference w:id="4"/>
            </w:r>
            <w:r w:rsidRPr="00995614">
              <w:rPr>
                <w:rFonts w:ascii="Times New Roman" w:hAnsi="Times New Roman"/>
                <w:sz w:val="22"/>
                <w:szCs w:val="22"/>
              </w:rPr>
              <w:t xml:space="preserve"> en application des dispositions des articles L. 225-102-1, R. 225-105 et R. 225-105-1 du code de commerce.</w:t>
            </w:r>
          </w:p>
        </w:tc>
      </w:tr>
      <w:tr w:rsidR="00E36548" w:rsidRPr="004D26C0" w14:paraId="7A01636A" w14:textId="77777777" w:rsidTr="00B45B7D">
        <w:trPr>
          <w:gridAfter w:val="1"/>
          <w:wAfter w:w="1271" w:type="dxa"/>
        </w:trPr>
        <w:tc>
          <w:tcPr>
            <w:tcW w:w="9214" w:type="dxa"/>
          </w:tcPr>
          <w:p w14:paraId="5EFA533D" w14:textId="77777777" w:rsidR="00E36548" w:rsidRPr="00995614" w:rsidRDefault="00E36548" w:rsidP="00B45B7D">
            <w:pPr>
              <w:spacing w:before="120" w:beforeAutospacing="0" w:after="120" w:afterAutospacing="0" w:line="276" w:lineRule="auto"/>
              <w:jc w:val="left"/>
              <w:rPr>
                <w:b/>
                <w:szCs w:val="22"/>
              </w:rPr>
            </w:pPr>
            <w:r w:rsidRPr="00995614">
              <w:rPr>
                <w:b/>
                <w:szCs w:val="22"/>
              </w:rPr>
              <w:t>Conclusion</w:t>
            </w:r>
          </w:p>
          <w:p w14:paraId="44583BDA" w14:textId="77777777" w:rsidR="00E36548" w:rsidRPr="00995614" w:rsidRDefault="00E36548" w:rsidP="00B45B7D">
            <w:pPr>
              <w:pStyle w:val="TitreI"/>
              <w:keepNext w:val="0"/>
              <w:keepLines w:val="0"/>
              <w:spacing w:before="0" w:after="0" w:line="240" w:lineRule="auto"/>
              <w:rPr>
                <w:rFonts w:ascii="Times New Roman" w:hAnsi="Times New Roman"/>
                <w:i/>
                <w:sz w:val="22"/>
                <w:szCs w:val="22"/>
              </w:rPr>
            </w:pPr>
            <w:r w:rsidRPr="00995614">
              <w:rPr>
                <w:rFonts w:ascii="Times New Roman" w:hAnsi="Times New Roman"/>
                <w:sz w:val="22"/>
                <w:szCs w:val="22"/>
              </w:rPr>
              <w:t>[</w:t>
            </w:r>
            <w:r w:rsidRPr="00995614">
              <w:rPr>
                <w:rFonts w:ascii="Times New Roman" w:hAnsi="Times New Roman"/>
                <w:i/>
                <w:sz w:val="22"/>
                <w:szCs w:val="22"/>
              </w:rPr>
              <w:t>Conclusion sans réserve</w:t>
            </w:r>
            <w:r w:rsidRPr="00995614">
              <w:rPr>
                <w:rFonts w:ascii="Times New Roman" w:hAnsi="Times New Roman"/>
                <w:sz w:val="22"/>
                <w:szCs w:val="22"/>
              </w:rPr>
              <w:t>]</w:t>
            </w:r>
          </w:p>
          <w:p w14:paraId="07FCFB3B" w14:textId="62D83118" w:rsidR="00E36548" w:rsidRPr="00995614" w:rsidRDefault="00E36548" w:rsidP="00B45B7D">
            <w:pPr>
              <w:pStyle w:val="Texte"/>
              <w:spacing w:before="120" w:after="0" w:line="240" w:lineRule="auto"/>
              <w:ind w:right="-106"/>
              <w:jc w:val="both"/>
              <w:rPr>
                <w:rFonts w:ascii="Times New Roman" w:hAnsi="Times New Roman"/>
                <w:sz w:val="22"/>
                <w:szCs w:val="22"/>
              </w:rPr>
            </w:pPr>
            <w:r w:rsidRPr="00995614">
              <w:rPr>
                <w:rFonts w:ascii="Times New Roman" w:hAnsi="Times New Roman"/>
                <w:sz w:val="22"/>
                <w:szCs w:val="22"/>
              </w:rPr>
              <w:t xml:space="preserve">Sur la base </w:t>
            </w:r>
            <w:r w:rsidRPr="00995614">
              <w:rPr>
                <w:rFonts w:ascii="Times New Roman" w:hAnsi="Times New Roman"/>
                <w:iCs w:val="0"/>
                <w:color w:val="000000" w:themeColor="text1"/>
                <w:kern w:val="0"/>
                <w:sz w:val="22"/>
                <w:szCs w:val="22"/>
              </w:rPr>
              <w:t>des procédures que nous avons mises en œuvre, telles que décrites dans la partie « Nature et étendue des travaux », et des éléments que nous avons collectés</w:t>
            </w:r>
            <w:r w:rsidRPr="00995614">
              <w:rPr>
                <w:rFonts w:ascii="Times New Roman" w:hAnsi="Times New Roman"/>
                <w:iCs w:val="0"/>
                <w:color w:val="4472C4" w:themeColor="accent1"/>
                <w:kern w:val="0"/>
                <w:sz w:val="22"/>
                <w:szCs w:val="22"/>
              </w:rPr>
              <w:t>,</w:t>
            </w:r>
            <w:r w:rsidRPr="00995614">
              <w:rPr>
                <w:rFonts w:ascii="Times New Roman" w:hAnsi="Times New Roman"/>
                <w:sz w:val="22"/>
                <w:szCs w:val="22"/>
              </w:rPr>
              <w:t xml:space="preserve"> nous n'avons pas relevé d'anomalie significative de nature à remettre en cause le fait que la déclaration</w:t>
            </w:r>
            <w:r w:rsidRPr="00995614">
              <w:rPr>
                <w:rStyle w:val="Appelnotedebasdep"/>
                <w:rFonts w:ascii="Times New Roman" w:hAnsi="Times New Roman"/>
                <w:sz w:val="22"/>
                <w:szCs w:val="22"/>
              </w:rPr>
              <w:fldChar w:fldCharType="begin"/>
            </w:r>
            <w:r w:rsidRPr="00995614">
              <w:rPr>
                <w:rFonts w:ascii="Times New Roman" w:hAnsi="Times New Roman"/>
                <w:sz w:val="22"/>
                <w:szCs w:val="22"/>
                <w:vertAlign w:val="superscript"/>
              </w:rPr>
              <w:instrText xml:space="preserve"> NOTEREF _Ref87990274 \h </w:instrText>
            </w:r>
            <w:r w:rsidRPr="00995614">
              <w:rPr>
                <w:rStyle w:val="Appelnotedebasdep"/>
                <w:rFonts w:ascii="Times New Roman" w:hAnsi="Times New Roman"/>
                <w:sz w:val="22"/>
                <w:szCs w:val="22"/>
              </w:rPr>
              <w:instrText xml:space="preserve"> \* MERGEFORMAT </w:instrText>
            </w:r>
            <w:r w:rsidRPr="00995614">
              <w:rPr>
                <w:rStyle w:val="Appelnotedebasdep"/>
                <w:rFonts w:ascii="Times New Roman" w:hAnsi="Times New Roman"/>
                <w:sz w:val="22"/>
                <w:szCs w:val="22"/>
              </w:rPr>
            </w:r>
            <w:r w:rsidRPr="00995614">
              <w:rPr>
                <w:rStyle w:val="Appelnotedebasdep"/>
                <w:rFonts w:ascii="Times New Roman" w:hAnsi="Times New Roman"/>
                <w:sz w:val="22"/>
                <w:szCs w:val="22"/>
              </w:rPr>
              <w:fldChar w:fldCharType="separate"/>
            </w:r>
            <w:r w:rsidR="00F62F8E">
              <w:rPr>
                <w:rFonts w:ascii="Times New Roman" w:hAnsi="Times New Roman"/>
                <w:sz w:val="22"/>
                <w:szCs w:val="22"/>
                <w:vertAlign w:val="superscript"/>
              </w:rPr>
              <w:t>1</w:t>
            </w:r>
            <w:r w:rsidRPr="00995614">
              <w:rPr>
                <w:rStyle w:val="Appelnotedebasdep"/>
                <w:rFonts w:ascii="Times New Roman" w:hAnsi="Times New Roman"/>
                <w:sz w:val="22"/>
                <w:szCs w:val="22"/>
              </w:rPr>
              <w:fldChar w:fldCharType="end"/>
            </w:r>
            <w:r w:rsidRPr="00995614">
              <w:rPr>
                <w:rFonts w:ascii="Times New Roman" w:hAnsi="Times New Roman"/>
                <w:sz w:val="22"/>
                <w:szCs w:val="22"/>
              </w:rPr>
              <w:t xml:space="preserve"> de performance extra-financière est conforme aux dispositions réglementaires applicables et que </w:t>
            </w:r>
            <w:r w:rsidRPr="00BD3B94">
              <w:rPr>
                <w:rFonts w:ascii="Times New Roman" w:hAnsi="Times New Roman"/>
                <w:sz w:val="22"/>
                <w:szCs w:val="22"/>
              </w:rPr>
              <w:t>les Informations</w:t>
            </w:r>
            <w:r w:rsidRPr="00995614">
              <w:rPr>
                <w:rFonts w:ascii="Times New Roman" w:hAnsi="Times New Roman"/>
                <w:sz w:val="22"/>
                <w:szCs w:val="22"/>
              </w:rPr>
              <w:t xml:space="preserve">, prises dans leur ensemble, sont présentées, de manière sincère, conformément au Référentiel. </w:t>
            </w:r>
          </w:p>
          <w:p w14:paraId="0F3EC288" w14:textId="77777777" w:rsidR="00E36548" w:rsidRPr="00995614" w:rsidRDefault="00E36548" w:rsidP="00B45B7D">
            <w:pPr>
              <w:pStyle w:val="Texte"/>
              <w:spacing w:before="120" w:after="120" w:line="240" w:lineRule="auto"/>
              <w:jc w:val="center"/>
              <w:rPr>
                <w:rFonts w:ascii="Times New Roman" w:hAnsi="Times New Roman"/>
                <w:b/>
                <w:i/>
                <w:sz w:val="22"/>
                <w:szCs w:val="22"/>
              </w:rPr>
            </w:pPr>
            <w:r w:rsidRPr="00995614">
              <w:rPr>
                <w:rFonts w:ascii="Times New Roman" w:hAnsi="Times New Roman"/>
                <w:b/>
                <w:i/>
                <w:sz w:val="22"/>
                <w:szCs w:val="22"/>
              </w:rPr>
              <w:t>Ou bien</w:t>
            </w:r>
          </w:p>
          <w:p w14:paraId="75B98271" w14:textId="77777777" w:rsidR="00E36548" w:rsidRPr="00995614" w:rsidRDefault="00E36548" w:rsidP="00B45B7D">
            <w:pPr>
              <w:pStyle w:val="TitreI"/>
              <w:keepNext w:val="0"/>
              <w:keepLines w:val="0"/>
              <w:spacing w:before="0" w:after="0" w:line="240" w:lineRule="auto"/>
              <w:rPr>
                <w:rFonts w:ascii="Times New Roman" w:hAnsi="Times New Roman"/>
                <w:i/>
                <w:sz w:val="22"/>
                <w:szCs w:val="22"/>
              </w:rPr>
            </w:pPr>
            <w:r w:rsidRPr="00995614">
              <w:rPr>
                <w:rFonts w:ascii="Times New Roman" w:hAnsi="Times New Roman"/>
                <w:sz w:val="22"/>
                <w:szCs w:val="22"/>
              </w:rPr>
              <w:t>[</w:t>
            </w:r>
            <w:r w:rsidRPr="00995614">
              <w:rPr>
                <w:rFonts w:ascii="Times New Roman" w:hAnsi="Times New Roman"/>
                <w:i/>
                <w:sz w:val="22"/>
                <w:szCs w:val="22"/>
              </w:rPr>
              <w:t>Conclusion avec réserve</w:t>
            </w:r>
            <w:r w:rsidRPr="00995614">
              <w:rPr>
                <w:rFonts w:ascii="Times New Roman" w:hAnsi="Times New Roman"/>
                <w:sz w:val="22"/>
                <w:szCs w:val="22"/>
              </w:rPr>
              <w:t>]</w:t>
            </w:r>
          </w:p>
          <w:p w14:paraId="68CE1B3D" w14:textId="77777777" w:rsidR="00E36548" w:rsidRPr="00995614" w:rsidRDefault="00E36548" w:rsidP="00B45B7D">
            <w:pPr>
              <w:pStyle w:val="TitreI"/>
              <w:keepNext w:val="0"/>
              <w:keepLines w:val="0"/>
              <w:spacing w:before="80" w:after="80" w:line="240" w:lineRule="auto"/>
              <w:ind w:left="29" w:hanging="29"/>
              <w:jc w:val="both"/>
              <w:rPr>
                <w:rFonts w:ascii="Times New Roman" w:hAnsi="Times New Roman"/>
                <w:b w:val="0"/>
                <w:color w:val="44546A" w:themeColor="text2"/>
                <w:sz w:val="22"/>
                <w:szCs w:val="22"/>
              </w:rPr>
            </w:pPr>
            <w:r w:rsidRPr="00995614">
              <w:rPr>
                <w:rFonts w:ascii="Times New Roman" w:hAnsi="Times New Roman"/>
                <w:b w:val="0"/>
                <w:color w:val="44546A" w:themeColor="text2"/>
                <w:sz w:val="22"/>
                <w:szCs w:val="22"/>
              </w:rPr>
              <w:t>[</w:t>
            </w:r>
            <w:r w:rsidRPr="00995614">
              <w:rPr>
                <w:rFonts w:ascii="Times New Roman" w:hAnsi="Times New Roman"/>
                <w:b w:val="0"/>
                <w:i/>
                <w:iCs/>
                <w:color w:val="44546A" w:themeColor="text2"/>
                <w:sz w:val="22"/>
                <w:szCs w:val="22"/>
              </w:rPr>
              <w:t>Mention de l’anomalie de nature à conduire à l’expression d’une réserve</w:t>
            </w:r>
            <w:r w:rsidRPr="00995614">
              <w:rPr>
                <w:rFonts w:ascii="Times New Roman" w:hAnsi="Times New Roman"/>
                <w:b w:val="0"/>
                <w:color w:val="44546A" w:themeColor="text2"/>
                <w:sz w:val="22"/>
                <w:szCs w:val="22"/>
              </w:rPr>
              <w:t>]</w:t>
            </w:r>
          </w:p>
          <w:p w14:paraId="45F7EC78" w14:textId="29157590" w:rsidR="00E36548" w:rsidRPr="00995614" w:rsidRDefault="00E36548" w:rsidP="00B45B7D">
            <w:pPr>
              <w:pStyle w:val="Texte"/>
              <w:spacing w:before="40" w:after="0" w:line="240" w:lineRule="auto"/>
              <w:ind w:right="-106"/>
              <w:jc w:val="both"/>
              <w:rPr>
                <w:rFonts w:ascii="Times New Roman" w:hAnsi="Times New Roman"/>
                <w:sz w:val="22"/>
                <w:szCs w:val="22"/>
              </w:rPr>
            </w:pPr>
            <w:r w:rsidRPr="00995614">
              <w:rPr>
                <w:rFonts w:ascii="Times New Roman" w:hAnsi="Times New Roman"/>
                <w:sz w:val="22"/>
                <w:szCs w:val="22"/>
              </w:rPr>
              <w:t xml:space="preserve">Sur la base </w:t>
            </w:r>
            <w:r w:rsidRPr="00995614">
              <w:rPr>
                <w:rFonts w:ascii="Times New Roman" w:hAnsi="Times New Roman"/>
                <w:iCs w:val="0"/>
                <w:color w:val="000000" w:themeColor="text1"/>
                <w:kern w:val="0"/>
                <w:sz w:val="22"/>
                <w:szCs w:val="22"/>
              </w:rPr>
              <w:t>des procédures que nous avons mises en œuvre, telles que décrites dans la partie « Nature et étendue des travaux », et des éléments que nous avons collectés,</w:t>
            </w:r>
            <w:r w:rsidRPr="00995614">
              <w:rPr>
                <w:rFonts w:ascii="Times New Roman" w:hAnsi="Times New Roman"/>
                <w:sz w:val="22"/>
                <w:szCs w:val="22"/>
              </w:rPr>
              <w:t xml:space="preserve"> à l’exception des éléments décrits ci</w:t>
            </w:r>
            <w:r>
              <w:rPr>
                <w:rFonts w:ascii="Times New Roman" w:hAnsi="Times New Roman"/>
                <w:sz w:val="22"/>
                <w:szCs w:val="22"/>
              </w:rPr>
              <w:noBreakHyphen/>
            </w:r>
            <w:r w:rsidRPr="00995614">
              <w:rPr>
                <w:rFonts w:ascii="Times New Roman" w:hAnsi="Times New Roman"/>
                <w:sz w:val="22"/>
                <w:szCs w:val="22"/>
              </w:rPr>
              <w:t>dessus, nous n'avons pas relevé d'anomalie significative de nature à remettre en cause le fait que la déclaration</w:t>
            </w:r>
            <w:bookmarkStart w:id="1" w:name="_Ref87990627"/>
            <w:r w:rsidRPr="00B354BB">
              <w:rPr>
                <w:rFonts w:ascii="Times New Roman" w:hAnsi="Times New Roman"/>
                <w:sz w:val="22"/>
                <w:szCs w:val="22"/>
                <w:vertAlign w:val="superscript"/>
              </w:rPr>
              <w:fldChar w:fldCharType="begin"/>
            </w:r>
            <w:r w:rsidRPr="00B354BB">
              <w:rPr>
                <w:rFonts w:ascii="Times New Roman" w:hAnsi="Times New Roman"/>
                <w:sz w:val="22"/>
                <w:szCs w:val="22"/>
                <w:vertAlign w:val="superscript"/>
              </w:rPr>
              <w:instrText xml:space="preserve"> NOTEREF _Ref87990274 \h </w:instrText>
            </w:r>
            <w:r>
              <w:rPr>
                <w:rFonts w:ascii="Times New Roman" w:hAnsi="Times New Roman"/>
                <w:sz w:val="22"/>
                <w:szCs w:val="22"/>
                <w:vertAlign w:val="superscript"/>
              </w:rPr>
              <w:instrText xml:space="preserve"> \* MERGEFORMAT </w:instrText>
            </w:r>
            <w:r w:rsidRPr="00B354BB">
              <w:rPr>
                <w:rFonts w:ascii="Times New Roman" w:hAnsi="Times New Roman"/>
                <w:sz w:val="22"/>
                <w:szCs w:val="22"/>
                <w:vertAlign w:val="superscript"/>
              </w:rPr>
            </w:r>
            <w:r w:rsidRPr="00B354BB">
              <w:rPr>
                <w:rFonts w:ascii="Times New Roman" w:hAnsi="Times New Roman"/>
                <w:sz w:val="22"/>
                <w:szCs w:val="22"/>
                <w:vertAlign w:val="superscript"/>
              </w:rPr>
              <w:fldChar w:fldCharType="separate"/>
            </w:r>
            <w:r w:rsidR="00F62F8E">
              <w:rPr>
                <w:rFonts w:ascii="Times New Roman" w:hAnsi="Times New Roman"/>
                <w:sz w:val="22"/>
                <w:szCs w:val="22"/>
                <w:vertAlign w:val="superscript"/>
              </w:rPr>
              <w:t>1</w:t>
            </w:r>
            <w:r w:rsidRPr="00B354BB">
              <w:rPr>
                <w:rFonts w:ascii="Times New Roman" w:hAnsi="Times New Roman"/>
                <w:sz w:val="22"/>
                <w:szCs w:val="22"/>
                <w:vertAlign w:val="superscript"/>
              </w:rPr>
              <w:fldChar w:fldCharType="end"/>
            </w:r>
            <w:bookmarkEnd w:id="1"/>
            <w:r w:rsidRPr="00995614">
              <w:rPr>
                <w:rFonts w:ascii="Times New Roman" w:hAnsi="Times New Roman"/>
                <w:sz w:val="22"/>
                <w:szCs w:val="22"/>
                <w:vertAlign w:val="superscript"/>
              </w:rPr>
              <w:t xml:space="preserve"> </w:t>
            </w:r>
            <w:r w:rsidRPr="00995614">
              <w:rPr>
                <w:rFonts w:ascii="Times New Roman" w:hAnsi="Times New Roman"/>
                <w:sz w:val="22"/>
                <w:szCs w:val="22"/>
              </w:rPr>
              <w:t>de performance extra</w:t>
            </w:r>
            <w:r w:rsidRPr="00995614">
              <w:rPr>
                <w:rFonts w:ascii="Times New Roman" w:hAnsi="Times New Roman"/>
                <w:sz w:val="22"/>
                <w:szCs w:val="22"/>
              </w:rPr>
              <w:noBreakHyphen/>
              <w:t xml:space="preserve">financière est conforme aux dispositions réglementaires applicables et que </w:t>
            </w:r>
            <w:r w:rsidRPr="00BD3B94">
              <w:rPr>
                <w:rFonts w:ascii="Times New Roman" w:hAnsi="Times New Roman"/>
                <w:sz w:val="22"/>
                <w:szCs w:val="22"/>
              </w:rPr>
              <w:t>les Informations</w:t>
            </w:r>
            <w:r w:rsidRPr="00995614">
              <w:rPr>
                <w:rFonts w:ascii="Times New Roman" w:hAnsi="Times New Roman"/>
                <w:sz w:val="22"/>
                <w:szCs w:val="22"/>
              </w:rPr>
              <w:t>, prises dans leur ensemble, sont présentées, de manière sincère, conformément au Référentiel.</w:t>
            </w:r>
          </w:p>
          <w:p w14:paraId="5337945B" w14:textId="77777777" w:rsidR="00E36548" w:rsidRPr="00995614" w:rsidRDefault="00E36548" w:rsidP="00B45B7D">
            <w:pPr>
              <w:pStyle w:val="Texte"/>
              <w:spacing w:before="120" w:after="120" w:line="240" w:lineRule="auto"/>
              <w:jc w:val="center"/>
            </w:pPr>
            <w:r w:rsidRPr="00995614">
              <w:rPr>
                <w:rFonts w:ascii="Times New Roman" w:hAnsi="Times New Roman"/>
                <w:b/>
                <w:i/>
                <w:sz w:val="22"/>
                <w:szCs w:val="22"/>
              </w:rPr>
              <w:t>Ou bien</w:t>
            </w:r>
          </w:p>
          <w:p w14:paraId="16433BF5" w14:textId="77777777" w:rsidR="00E36548" w:rsidRDefault="00E36548" w:rsidP="00B45B7D">
            <w:pPr>
              <w:pStyle w:val="TitreI"/>
              <w:keepNext w:val="0"/>
              <w:keepLines w:val="0"/>
              <w:widowControl w:val="0"/>
              <w:spacing w:before="0" w:after="0" w:line="240" w:lineRule="auto"/>
              <w:ind w:left="0" w:firstLine="0"/>
              <w:rPr>
                <w:rFonts w:ascii="Times New Roman" w:hAnsi="Times New Roman"/>
                <w:sz w:val="22"/>
                <w:szCs w:val="22"/>
              </w:rPr>
            </w:pPr>
          </w:p>
          <w:p w14:paraId="2C5FD1C3" w14:textId="77777777" w:rsidR="00E36548" w:rsidRDefault="00E36548" w:rsidP="00B45B7D">
            <w:pPr>
              <w:pStyle w:val="TitreI"/>
              <w:keepNext w:val="0"/>
              <w:keepLines w:val="0"/>
              <w:widowControl w:val="0"/>
              <w:spacing w:before="0" w:after="0" w:line="240" w:lineRule="auto"/>
              <w:ind w:left="0" w:firstLine="0"/>
              <w:rPr>
                <w:rFonts w:ascii="Times New Roman" w:hAnsi="Times New Roman"/>
                <w:sz w:val="22"/>
                <w:szCs w:val="22"/>
              </w:rPr>
            </w:pPr>
          </w:p>
          <w:p w14:paraId="6149D591" w14:textId="77777777" w:rsidR="00FA14D5" w:rsidRDefault="00FA14D5" w:rsidP="00B45B7D">
            <w:pPr>
              <w:pStyle w:val="TitreI"/>
              <w:keepNext w:val="0"/>
              <w:keepLines w:val="0"/>
              <w:widowControl w:val="0"/>
              <w:spacing w:before="0" w:after="0" w:line="240" w:lineRule="auto"/>
              <w:ind w:left="0" w:firstLine="0"/>
              <w:rPr>
                <w:rFonts w:ascii="Times New Roman" w:hAnsi="Times New Roman"/>
                <w:sz w:val="22"/>
                <w:szCs w:val="22"/>
              </w:rPr>
            </w:pPr>
          </w:p>
          <w:p w14:paraId="6DA463CA" w14:textId="77777777" w:rsidR="00FA14D5" w:rsidRDefault="00FA14D5" w:rsidP="00B45B7D">
            <w:pPr>
              <w:pStyle w:val="TitreI"/>
              <w:keepNext w:val="0"/>
              <w:keepLines w:val="0"/>
              <w:widowControl w:val="0"/>
              <w:spacing w:before="0" w:after="0" w:line="240" w:lineRule="auto"/>
              <w:ind w:left="0" w:firstLine="0"/>
              <w:rPr>
                <w:rFonts w:ascii="Times New Roman" w:hAnsi="Times New Roman"/>
                <w:sz w:val="22"/>
                <w:szCs w:val="22"/>
              </w:rPr>
            </w:pPr>
          </w:p>
          <w:p w14:paraId="330BFD3A" w14:textId="77777777" w:rsidR="00FA14D5" w:rsidRDefault="00FA14D5" w:rsidP="00B45B7D">
            <w:pPr>
              <w:pStyle w:val="TitreI"/>
              <w:keepNext w:val="0"/>
              <w:keepLines w:val="0"/>
              <w:widowControl w:val="0"/>
              <w:spacing w:before="0" w:after="0" w:line="240" w:lineRule="auto"/>
              <w:ind w:left="0" w:firstLine="0"/>
              <w:rPr>
                <w:rFonts w:ascii="Times New Roman" w:hAnsi="Times New Roman"/>
                <w:sz w:val="22"/>
                <w:szCs w:val="22"/>
              </w:rPr>
            </w:pPr>
          </w:p>
          <w:p w14:paraId="72FF02AC" w14:textId="56952728" w:rsidR="00E36548" w:rsidRPr="00995614" w:rsidRDefault="00E36548" w:rsidP="00B45B7D">
            <w:pPr>
              <w:pStyle w:val="TitreI"/>
              <w:keepNext w:val="0"/>
              <w:keepLines w:val="0"/>
              <w:widowControl w:val="0"/>
              <w:spacing w:before="0" w:after="0" w:line="240" w:lineRule="auto"/>
              <w:ind w:left="0" w:firstLine="0"/>
              <w:rPr>
                <w:rFonts w:ascii="Times New Roman" w:hAnsi="Times New Roman"/>
                <w:i/>
                <w:sz w:val="22"/>
                <w:szCs w:val="22"/>
              </w:rPr>
            </w:pPr>
            <w:r w:rsidRPr="00995614">
              <w:rPr>
                <w:rFonts w:ascii="Times New Roman" w:hAnsi="Times New Roman"/>
                <w:sz w:val="22"/>
                <w:szCs w:val="22"/>
              </w:rPr>
              <w:t>[</w:t>
            </w:r>
            <w:r w:rsidRPr="00995614">
              <w:rPr>
                <w:rFonts w:ascii="Times New Roman" w:hAnsi="Times New Roman"/>
                <w:i/>
                <w:sz w:val="22"/>
                <w:szCs w:val="22"/>
              </w:rPr>
              <w:t>Conclusion défavorable</w:t>
            </w:r>
            <w:r w:rsidRPr="00995614">
              <w:rPr>
                <w:rFonts w:ascii="Times New Roman" w:hAnsi="Times New Roman"/>
                <w:sz w:val="22"/>
                <w:szCs w:val="22"/>
              </w:rPr>
              <w:t>]</w:t>
            </w:r>
          </w:p>
          <w:p w14:paraId="3C1682B6" w14:textId="77777777" w:rsidR="00E36548" w:rsidRPr="00995614" w:rsidRDefault="00E36548" w:rsidP="00B45B7D">
            <w:pPr>
              <w:pStyle w:val="TitreI"/>
              <w:keepNext w:val="0"/>
              <w:keepLines w:val="0"/>
              <w:spacing w:before="80" w:after="80" w:line="240" w:lineRule="auto"/>
              <w:ind w:left="0" w:firstLine="0"/>
              <w:jc w:val="both"/>
              <w:rPr>
                <w:rFonts w:ascii="Times New Roman" w:hAnsi="Times New Roman"/>
                <w:b w:val="0"/>
                <w:color w:val="44546A" w:themeColor="text2"/>
                <w:sz w:val="22"/>
                <w:szCs w:val="22"/>
              </w:rPr>
            </w:pPr>
            <w:r w:rsidRPr="00995614">
              <w:rPr>
                <w:rFonts w:ascii="Times New Roman" w:hAnsi="Times New Roman"/>
                <w:b w:val="0"/>
                <w:color w:val="44546A" w:themeColor="text2"/>
                <w:sz w:val="22"/>
                <w:szCs w:val="22"/>
              </w:rPr>
              <w:t>[</w:t>
            </w:r>
            <w:r w:rsidRPr="00995614">
              <w:rPr>
                <w:rFonts w:ascii="Times New Roman" w:hAnsi="Times New Roman"/>
                <w:b w:val="0"/>
                <w:i/>
                <w:iCs/>
                <w:color w:val="44546A" w:themeColor="text2"/>
                <w:sz w:val="22"/>
                <w:szCs w:val="22"/>
              </w:rPr>
              <w:t>Mention de l’anomalie de nature à conduire à l’expression d’une conclusion défavorable</w:t>
            </w:r>
            <w:r w:rsidRPr="00995614">
              <w:rPr>
                <w:rFonts w:ascii="Times New Roman" w:hAnsi="Times New Roman"/>
                <w:b w:val="0"/>
                <w:color w:val="44546A" w:themeColor="text2"/>
                <w:sz w:val="22"/>
                <w:szCs w:val="22"/>
              </w:rPr>
              <w:t xml:space="preserve">] </w:t>
            </w:r>
          </w:p>
          <w:p w14:paraId="46A14E44" w14:textId="77777777" w:rsidR="00E36548" w:rsidRPr="00995614" w:rsidRDefault="00E36548" w:rsidP="00B45B7D">
            <w:pPr>
              <w:pStyle w:val="Texte"/>
              <w:spacing w:after="0" w:line="240" w:lineRule="auto"/>
              <w:jc w:val="both"/>
              <w:rPr>
                <w:rFonts w:ascii="Times New Roman" w:hAnsi="Times New Roman"/>
                <w:sz w:val="22"/>
                <w:szCs w:val="22"/>
              </w:rPr>
            </w:pPr>
            <w:r w:rsidRPr="00995614">
              <w:rPr>
                <w:rFonts w:ascii="Times New Roman" w:hAnsi="Times New Roman"/>
                <w:sz w:val="22"/>
                <w:szCs w:val="22"/>
              </w:rPr>
              <w:t xml:space="preserve">Sur la base </w:t>
            </w:r>
            <w:r w:rsidRPr="00995614">
              <w:rPr>
                <w:rFonts w:ascii="Times New Roman" w:hAnsi="Times New Roman"/>
                <w:iCs w:val="0"/>
                <w:color w:val="000000" w:themeColor="text1"/>
                <w:kern w:val="0"/>
                <w:sz w:val="22"/>
                <w:szCs w:val="22"/>
              </w:rPr>
              <w:t>des procédures que nous avons mises en œuvre, telles que décrites dans la partie « Nature et étendue des travaux », et des éléments que nous avons collectés,</w:t>
            </w:r>
            <w:r w:rsidRPr="00995614">
              <w:rPr>
                <w:rFonts w:ascii="Times New Roman" w:hAnsi="Times New Roman"/>
                <w:sz w:val="22"/>
                <w:szCs w:val="22"/>
              </w:rPr>
              <w:t xml:space="preserve"> en raison de l’importance des faits décrits ci-dessus, la déclaration</w:t>
            </w:r>
            <w:bookmarkStart w:id="2" w:name="_Ref94254856"/>
            <w:r>
              <w:rPr>
                <w:rStyle w:val="Appelnotedebasdep"/>
                <w:rFonts w:ascii="Times New Roman" w:hAnsi="Times New Roman"/>
                <w:sz w:val="22"/>
                <w:szCs w:val="22"/>
              </w:rPr>
              <w:footnoteReference w:id="5"/>
            </w:r>
            <w:bookmarkEnd w:id="2"/>
            <w:r w:rsidRPr="00995614">
              <w:rPr>
                <w:rFonts w:ascii="Times New Roman" w:hAnsi="Times New Roman"/>
                <w:sz w:val="22"/>
                <w:szCs w:val="22"/>
              </w:rPr>
              <w:t xml:space="preserve"> de performance extra</w:t>
            </w:r>
            <w:r w:rsidRPr="00995614">
              <w:rPr>
                <w:rFonts w:ascii="Times New Roman" w:hAnsi="Times New Roman"/>
                <w:sz w:val="22"/>
                <w:szCs w:val="22"/>
              </w:rPr>
              <w:noBreakHyphen/>
              <w:t xml:space="preserve">financière n’est pas conforme aux dispositions réglementaires applicables et les </w:t>
            </w:r>
            <w:r w:rsidRPr="00BD3B94">
              <w:rPr>
                <w:rFonts w:ascii="Times New Roman" w:hAnsi="Times New Roman"/>
                <w:sz w:val="22"/>
                <w:szCs w:val="22"/>
              </w:rPr>
              <w:t>Informations</w:t>
            </w:r>
            <w:r w:rsidRPr="00995614">
              <w:rPr>
                <w:rFonts w:ascii="Times New Roman" w:hAnsi="Times New Roman"/>
                <w:sz w:val="22"/>
                <w:szCs w:val="22"/>
              </w:rPr>
              <w:t>, prises dans leur ensemble, ne sont pas présentées de manière sincère, conformément au Référentiel.</w:t>
            </w:r>
          </w:p>
          <w:p w14:paraId="354471DA" w14:textId="77777777" w:rsidR="00E36548" w:rsidRPr="00995614" w:rsidRDefault="00E36548" w:rsidP="00B45B7D">
            <w:pPr>
              <w:pStyle w:val="Texte"/>
              <w:spacing w:before="120" w:after="120" w:line="240" w:lineRule="auto"/>
              <w:jc w:val="center"/>
              <w:rPr>
                <w:rFonts w:ascii="Times New Roman" w:hAnsi="Times New Roman"/>
                <w:sz w:val="22"/>
                <w:szCs w:val="22"/>
              </w:rPr>
            </w:pPr>
            <w:r w:rsidRPr="00995614">
              <w:rPr>
                <w:rFonts w:ascii="Times New Roman" w:hAnsi="Times New Roman"/>
                <w:b/>
                <w:i/>
                <w:sz w:val="22"/>
                <w:szCs w:val="22"/>
              </w:rPr>
              <w:t>Ou bien</w:t>
            </w:r>
          </w:p>
          <w:p w14:paraId="1DD0884C" w14:textId="77777777" w:rsidR="00E36548" w:rsidRPr="00995614" w:rsidRDefault="00E36548" w:rsidP="00B45B7D">
            <w:pPr>
              <w:pStyle w:val="TitreI"/>
              <w:keepNext w:val="0"/>
              <w:keepLines w:val="0"/>
              <w:spacing w:before="0" w:after="0" w:line="240" w:lineRule="auto"/>
              <w:rPr>
                <w:rFonts w:ascii="Times New Roman" w:hAnsi="Times New Roman"/>
                <w:i/>
                <w:sz w:val="22"/>
                <w:szCs w:val="22"/>
              </w:rPr>
            </w:pPr>
            <w:r w:rsidRPr="00995614">
              <w:rPr>
                <w:rFonts w:ascii="Times New Roman" w:hAnsi="Times New Roman"/>
                <w:sz w:val="22"/>
                <w:szCs w:val="22"/>
              </w:rPr>
              <w:t>[</w:t>
            </w:r>
            <w:r w:rsidRPr="00995614">
              <w:rPr>
                <w:rFonts w:ascii="Times New Roman" w:hAnsi="Times New Roman"/>
                <w:i/>
                <w:sz w:val="22"/>
                <w:szCs w:val="22"/>
              </w:rPr>
              <w:t>Impossibilité de</w:t>
            </w:r>
            <w:r w:rsidRPr="00995614">
              <w:rPr>
                <w:rFonts w:ascii="Times New Roman" w:hAnsi="Times New Roman"/>
                <w:sz w:val="22"/>
                <w:szCs w:val="22"/>
              </w:rPr>
              <w:t xml:space="preserve"> </w:t>
            </w:r>
            <w:r w:rsidRPr="00995614">
              <w:rPr>
                <w:rFonts w:ascii="Times New Roman" w:hAnsi="Times New Roman"/>
                <w:i/>
                <w:sz w:val="22"/>
                <w:szCs w:val="22"/>
              </w:rPr>
              <w:t>conclure</w:t>
            </w:r>
            <w:r w:rsidRPr="00995614">
              <w:rPr>
                <w:rFonts w:ascii="Times New Roman" w:hAnsi="Times New Roman"/>
                <w:sz w:val="22"/>
                <w:szCs w:val="22"/>
              </w:rPr>
              <w:t>]</w:t>
            </w:r>
          </w:p>
          <w:p w14:paraId="640985C0" w14:textId="77777777" w:rsidR="00E36548" w:rsidRPr="00995614" w:rsidRDefault="00E36548" w:rsidP="00B45B7D">
            <w:pPr>
              <w:pStyle w:val="TitreI"/>
              <w:keepNext w:val="0"/>
              <w:keepLines w:val="0"/>
              <w:spacing w:before="80" w:after="0" w:line="240" w:lineRule="auto"/>
              <w:ind w:left="29" w:hanging="29"/>
              <w:jc w:val="both"/>
              <w:rPr>
                <w:rFonts w:ascii="Times New Roman" w:hAnsi="Times New Roman"/>
                <w:b w:val="0"/>
                <w:color w:val="44546A" w:themeColor="text2"/>
                <w:sz w:val="22"/>
                <w:szCs w:val="22"/>
              </w:rPr>
            </w:pPr>
            <w:r w:rsidRPr="00995614">
              <w:rPr>
                <w:rFonts w:ascii="Times New Roman" w:hAnsi="Times New Roman"/>
                <w:b w:val="0"/>
                <w:color w:val="44546A" w:themeColor="text2"/>
                <w:sz w:val="22"/>
                <w:szCs w:val="22"/>
              </w:rPr>
              <w:t>[</w:t>
            </w:r>
            <w:r w:rsidRPr="00995614">
              <w:rPr>
                <w:rFonts w:ascii="Times New Roman" w:hAnsi="Times New Roman"/>
                <w:b w:val="0"/>
                <w:i/>
                <w:iCs/>
                <w:color w:val="44546A" w:themeColor="text2"/>
                <w:sz w:val="22"/>
                <w:szCs w:val="22"/>
              </w:rPr>
              <w:t>Mention des faits de nature à conduire à l’expression d’une impossibilité de conclure</w:t>
            </w:r>
            <w:r w:rsidRPr="00995614">
              <w:rPr>
                <w:rFonts w:ascii="Times New Roman" w:hAnsi="Times New Roman"/>
                <w:b w:val="0"/>
                <w:color w:val="44546A" w:themeColor="text2"/>
                <w:sz w:val="22"/>
                <w:szCs w:val="22"/>
              </w:rPr>
              <w:t>]</w:t>
            </w:r>
          </w:p>
          <w:p w14:paraId="5C5D1527" w14:textId="7CE402CB" w:rsidR="00E36548" w:rsidRPr="00995614" w:rsidRDefault="00E36548" w:rsidP="00B45B7D">
            <w:pPr>
              <w:pStyle w:val="Texte"/>
              <w:spacing w:before="80" w:after="120" w:line="240" w:lineRule="auto"/>
              <w:jc w:val="both"/>
              <w:rPr>
                <w:rFonts w:ascii="Times New Roman" w:hAnsi="Times New Roman"/>
                <w:iCs w:val="0"/>
                <w:kern w:val="0"/>
                <w:sz w:val="22"/>
                <w:szCs w:val="22"/>
              </w:rPr>
            </w:pPr>
            <w:r w:rsidRPr="00995614">
              <w:rPr>
                <w:rFonts w:ascii="Times New Roman" w:hAnsi="Times New Roman"/>
                <w:sz w:val="22"/>
                <w:szCs w:val="22"/>
              </w:rPr>
              <w:t>En raison de l’importance des faits décrits ci-dessus, nous n’avons pas été en mesure de collecter les éléments suffisants et appropriés pour émettre une conclusion. Par voie de conséquence, nous ne pouvons émettre une conclusion sur la déclaration</w:t>
            </w:r>
            <w:r w:rsidRPr="00B354BB">
              <w:rPr>
                <w:rFonts w:ascii="Times New Roman" w:hAnsi="Times New Roman"/>
                <w:sz w:val="22"/>
                <w:szCs w:val="22"/>
                <w:vertAlign w:val="superscript"/>
              </w:rPr>
              <w:fldChar w:fldCharType="begin"/>
            </w:r>
            <w:r w:rsidRPr="00D46F7B">
              <w:rPr>
                <w:rFonts w:ascii="Times New Roman" w:hAnsi="Times New Roman"/>
                <w:sz w:val="22"/>
                <w:szCs w:val="22"/>
                <w:vertAlign w:val="superscript"/>
              </w:rPr>
              <w:instrText xml:space="preserve"> NOTEREF _Ref94254856 \h </w:instrText>
            </w:r>
            <w:r>
              <w:rPr>
                <w:rFonts w:ascii="Times New Roman" w:hAnsi="Times New Roman"/>
                <w:sz w:val="22"/>
                <w:szCs w:val="22"/>
                <w:vertAlign w:val="superscript"/>
              </w:rPr>
              <w:instrText xml:space="preserve"> \* MERGEFORMAT </w:instrText>
            </w:r>
            <w:r w:rsidRPr="00B354BB">
              <w:rPr>
                <w:rFonts w:ascii="Times New Roman" w:hAnsi="Times New Roman"/>
                <w:sz w:val="22"/>
                <w:szCs w:val="22"/>
                <w:vertAlign w:val="superscript"/>
              </w:rPr>
            </w:r>
            <w:r w:rsidRPr="00B354BB">
              <w:rPr>
                <w:rFonts w:ascii="Times New Roman" w:hAnsi="Times New Roman"/>
                <w:sz w:val="22"/>
                <w:szCs w:val="22"/>
                <w:vertAlign w:val="superscript"/>
              </w:rPr>
              <w:fldChar w:fldCharType="separate"/>
            </w:r>
            <w:r w:rsidR="00F62F8E">
              <w:rPr>
                <w:rFonts w:ascii="Times New Roman" w:hAnsi="Times New Roman"/>
                <w:sz w:val="22"/>
                <w:szCs w:val="22"/>
                <w:vertAlign w:val="superscript"/>
              </w:rPr>
              <w:t>5</w:t>
            </w:r>
            <w:r w:rsidRPr="00B354BB">
              <w:rPr>
                <w:rFonts w:ascii="Times New Roman" w:hAnsi="Times New Roman"/>
                <w:sz w:val="22"/>
                <w:szCs w:val="22"/>
                <w:vertAlign w:val="superscript"/>
              </w:rPr>
              <w:fldChar w:fldCharType="end"/>
            </w:r>
            <w:r w:rsidRPr="00995614">
              <w:rPr>
                <w:rFonts w:ascii="Times New Roman" w:hAnsi="Times New Roman"/>
                <w:sz w:val="22"/>
                <w:szCs w:val="22"/>
                <w:vertAlign w:val="superscript"/>
              </w:rPr>
              <w:t xml:space="preserve"> </w:t>
            </w:r>
            <w:r w:rsidRPr="00995614">
              <w:rPr>
                <w:rFonts w:ascii="Times New Roman" w:hAnsi="Times New Roman"/>
                <w:sz w:val="22"/>
                <w:szCs w:val="22"/>
              </w:rPr>
              <w:t xml:space="preserve">de performance extra-financière. </w:t>
            </w:r>
          </w:p>
        </w:tc>
      </w:tr>
      <w:tr w:rsidR="00E36548" w:rsidRPr="0028574F" w14:paraId="4D534618" w14:textId="77777777" w:rsidTr="00B45B7D">
        <w:trPr>
          <w:gridAfter w:val="1"/>
          <w:wAfter w:w="1271" w:type="dxa"/>
        </w:trPr>
        <w:tc>
          <w:tcPr>
            <w:tcW w:w="9214" w:type="dxa"/>
          </w:tcPr>
          <w:p w14:paraId="224FC914" w14:textId="77777777" w:rsidR="00E36548" w:rsidRPr="004F29CC" w:rsidRDefault="00E36548" w:rsidP="00B45B7D">
            <w:pPr>
              <w:pStyle w:val="Bullet"/>
              <w:keepNext/>
              <w:numPr>
                <w:ilvl w:val="0"/>
                <w:numId w:val="0"/>
              </w:numPr>
              <w:spacing w:before="240" w:after="120" w:line="240" w:lineRule="auto"/>
              <w:ind w:left="284" w:hanging="284"/>
              <w:jc w:val="both"/>
              <w:rPr>
                <w:rFonts w:ascii="Times New Roman" w:hAnsi="Times New Roman"/>
                <w:b/>
                <w:sz w:val="22"/>
                <w:szCs w:val="22"/>
              </w:rPr>
            </w:pPr>
            <w:r w:rsidRPr="004F29CC">
              <w:rPr>
                <w:rFonts w:ascii="Times New Roman" w:hAnsi="Times New Roman"/>
                <w:b/>
                <w:sz w:val="22"/>
                <w:szCs w:val="22"/>
              </w:rPr>
              <w:lastRenderedPageBreak/>
              <w:t>Commentaires</w:t>
            </w:r>
            <w:r w:rsidRPr="004F29CC">
              <w:rPr>
                <w:rStyle w:val="Appelnotedebasdep"/>
                <w:rFonts w:ascii="Times New Roman" w:hAnsi="Times New Roman"/>
                <w:sz w:val="22"/>
                <w:szCs w:val="22"/>
              </w:rPr>
              <w:footnoteReference w:id="6"/>
            </w:r>
          </w:p>
          <w:p w14:paraId="69E1C992" w14:textId="77777777" w:rsidR="00E36548" w:rsidRPr="004F29CC" w:rsidRDefault="00E36548" w:rsidP="00B45B7D">
            <w:pPr>
              <w:pStyle w:val="Texte"/>
              <w:spacing w:after="0" w:line="240" w:lineRule="auto"/>
              <w:jc w:val="both"/>
              <w:rPr>
                <w:rFonts w:ascii="Times New Roman" w:hAnsi="Times New Roman"/>
                <w:sz w:val="22"/>
                <w:szCs w:val="22"/>
              </w:rPr>
            </w:pPr>
            <w:r w:rsidRPr="004F29CC">
              <w:rPr>
                <w:rFonts w:ascii="Times New Roman" w:hAnsi="Times New Roman"/>
                <w:sz w:val="22"/>
                <w:szCs w:val="22"/>
              </w:rPr>
              <w:t>Sans remettre en cause la conclusion exprimée ci-dessus et conformément aux dispositions de l’article A. 225-3 du code de commerce, nous formulons les commentaires suivants :</w:t>
            </w:r>
          </w:p>
          <w:p w14:paraId="15FEE6EB" w14:textId="77777777" w:rsidR="00E36548" w:rsidRPr="004F29CC" w:rsidRDefault="00E36548" w:rsidP="00B45B7D">
            <w:pPr>
              <w:pStyle w:val="Texte"/>
              <w:tabs>
                <w:tab w:val="left" w:pos="6899"/>
              </w:tabs>
              <w:spacing w:before="40" w:after="0" w:line="240" w:lineRule="auto"/>
              <w:jc w:val="both"/>
              <w:rPr>
                <w:rFonts w:ascii="Times New Roman" w:hAnsi="Times New Roman"/>
                <w:color w:val="44546A" w:themeColor="text2"/>
                <w:sz w:val="22"/>
                <w:szCs w:val="22"/>
              </w:rPr>
            </w:pPr>
            <w:r w:rsidRPr="004F29CC">
              <w:rPr>
                <w:rFonts w:ascii="Times New Roman" w:hAnsi="Times New Roman"/>
                <w:color w:val="44546A" w:themeColor="text2"/>
                <w:sz w:val="22"/>
                <w:szCs w:val="22"/>
              </w:rPr>
              <w:t>Exemples de points susceptibles de faire l’objet d’un commentaire :</w:t>
            </w:r>
            <w:r>
              <w:rPr>
                <w:rFonts w:ascii="Times New Roman" w:hAnsi="Times New Roman"/>
                <w:color w:val="44546A" w:themeColor="text2"/>
                <w:sz w:val="22"/>
                <w:szCs w:val="22"/>
              </w:rPr>
              <w:t xml:space="preserve"> (</w:t>
            </w:r>
            <w:r w:rsidRPr="009B2571">
              <w:rPr>
                <w:rFonts w:ascii="Times New Roman" w:hAnsi="Times New Roman"/>
                <w:i/>
                <w:caps/>
                <w:color w:val="44546A" w:themeColor="text2"/>
                <w:sz w:val="22"/>
                <w:szCs w:val="22"/>
              </w:rPr>
              <w:t>à</w:t>
            </w:r>
            <w:r w:rsidRPr="00F70966">
              <w:rPr>
                <w:rFonts w:ascii="Times New Roman" w:hAnsi="Times New Roman"/>
                <w:i/>
                <w:color w:val="44546A" w:themeColor="text2"/>
                <w:sz w:val="22"/>
                <w:szCs w:val="22"/>
              </w:rPr>
              <w:t xml:space="preserve"> adapter au contexte de l’entité</w:t>
            </w:r>
            <w:r>
              <w:rPr>
                <w:rFonts w:ascii="Times New Roman" w:hAnsi="Times New Roman"/>
                <w:color w:val="44546A" w:themeColor="text2"/>
                <w:sz w:val="22"/>
                <w:szCs w:val="22"/>
              </w:rPr>
              <w:t>)</w:t>
            </w:r>
          </w:p>
          <w:p w14:paraId="6EED8907" w14:textId="77777777" w:rsidR="00E36548" w:rsidRPr="004F29CC" w:rsidRDefault="00E36548" w:rsidP="00E36548">
            <w:pPr>
              <w:pStyle w:val="Texte"/>
              <w:numPr>
                <w:ilvl w:val="0"/>
                <w:numId w:val="3"/>
              </w:numPr>
              <w:spacing w:after="0" w:line="240" w:lineRule="auto"/>
              <w:ind w:left="284" w:hanging="284"/>
              <w:jc w:val="both"/>
              <w:rPr>
                <w:rFonts w:ascii="Times New Roman" w:hAnsi="Times New Roman"/>
                <w:i/>
                <w:color w:val="44546A" w:themeColor="text2"/>
                <w:sz w:val="22"/>
                <w:szCs w:val="22"/>
              </w:rPr>
            </w:pPr>
            <w:r w:rsidRPr="004F29CC">
              <w:rPr>
                <w:rFonts w:ascii="Times New Roman" w:hAnsi="Times New Roman"/>
                <w:color w:val="44546A" w:themeColor="text2"/>
                <w:sz w:val="22"/>
                <w:szCs w:val="22"/>
              </w:rPr>
              <w:t xml:space="preserve">Périmètre, </w:t>
            </w:r>
            <w:r>
              <w:rPr>
                <w:rFonts w:ascii="Times New Roman" w:hAnsi="Times New Roman"/>
                <w:color w:val="44546A" w:themeColor="text2"/>
                <w:sz w:val="22"/>
                <w:szCs w:val="22"/>
              </w:rPr>
              <w:t>cohérence d’ensemble</w:t>
            </w:r>
          </w:p>
          <w:p w14:paraId="29AED292" w14:textId="77777777" w:rsidR="00E36548" w:rsidRPr="004F29CC" w:rsidRDefault="00E36548" w:rsidP="00E36548">
            <w:pPr>
              <w:pStyle w:val="Texte"/>
              <w:numPr>
                <w:ilvl w:val="0"/>
                <w:numId w:val="3"/>
              </w:numPr>
              <w:spacing w:after="0" w:line="240" w:lineRule="auto"/>
              <w:ind w:left="284" w:right="142" w:hanging="284"/>
              <w:jc w:val="both"/>
              <w:rPr>
                <w:rFonts w:ascii="Times New Roman" w:hAnsi="Times New Roman"/>
                <w:color w:val="44546A" w:themeColor="text2"/>
                <w:sz w:val="22"/>
                <w:szCs w:val="22"/>
              </w:rPr>
            </w:pPr>
            <w:r w:rsidRPr="004F29CC">
              <w:rPr>
                <w:rFonts w:ascii="Times New Roman" w:hAnsi="Times New Roman"/>
                <w:color w:val="44546A" w:themeColor="text2"/>
                <w:sz w:val="22"/>
                <w:szCs w:val="22"/>
              </w:rPr>
              <w:t xml:space="preserve">Modèle d’affaires </w:t>
            </w:r>
          </w:p>
          <w:p w14:paraId="32D0FCC9" w14:textId="77777777" w:rsidR="00E36548" w:rsidRPr="004F29CC" w:rsidRDefault="00E36548" w:rsidP="00E36548">
            <w:pPr>
              <w:pStyle w:val="Texte"/>
              <w:numPr>
                <w:ilvl w:val="0"/>
                <w:numId w:val="3"/>
              </w:numPr>
              <w:spacing w:after="0" w:line="240" w:lineRule="auto"/>
              <w:ind w:left="284" w:right="142" w:hanging="284"/>
              <w:jc w:val="both"/>
              <w:rPr>
                <w:i/>
                <w:color w:val="44546A" w:themeColor="text2"/>
                <w:szCs w:val="22"/>
              </w:rPr>
            </w:pPr>
            <w:r w:rsidRPr="004F29CC">
              <w:rPr>
                <w:rFonts w:ascii="Times New Roman" w:hAnsi="Times New Roman"/>
                <w:color w:val="44546A" w:themeColor="text2"/>
                <w:sz w:val="22"/>
                <w:szCs w:val="22"/>
              </w:rPr>
              <w:t>Principaux risques extra-financiers</w:t>
            </w:r>
          </w:p>
          <w:p w14:paraId="167E8B61" w14:textId="77777777" w:rsidR="00E36548" w:rsidRPr="004F29CC" w:rsidRDefault="00E36548" w:rsidP="00E36548">
            <w:pPr>
              <w:pStyle w:val="Texte"/>
              <w:numPr>
                <w:ilvl w:val="0"/>
                <w:numId w:val="3"/>
              </w:numPr>
              <w:spacing w:after="0" w:line="240" w:lineRule="auto"/>
              <w:ind w:left="284" w:right="142" w:hanging="284"/>
              <w:jc w:val="both"/>
              <w:rPr>
                <w:rFonts w:ascii="Times New Roman" w:hAnsi="Times New Roman"/>
                <w:sz w:val="22"/>
                <w:szCs w:val="22"/>
              </w:rPr>
            </w:pPr>
            <w:r w:rsidRPr="004F29CC">
              <w:rPr>
                <w:rFonts w:ascii="Times New Roman" w:hAnsi="Times New Roman"/>
                <w:color w:val="44546A" w:themeColor="text2"/>
                <w:sz w:val="22"/>
                <w:szCs w:val="22"/>
              </w:rPr>
              <w:t xml:space="preserve">Politiques et actions </w:t>
            </w:r>
          </w:p>
          <w:p w14:paraId="0FB5D258" w14:textId="77777777" w:rsidR="00E36548" w:rsidRPr="007B0A49" w:rsidRDefault="00E36548" w:rsidP="00E36548">
            <w:pPr>
              <w:pStyle w:val="Notedebasdepage"/>
              <w:keepLines/>
              <w:numPr>
                <w:ilvl w:val="0"/>
                <w:numId w:val="4"/>
              </w:numPr>
              <w:spacing w:after="120"/>
              <w:ind w:left="284" w:hanging="284"/>
              <w:rPr>
                <w:b/>
                <w:color w:val="000000" w:themeColor="text1"/>
                <w:sz w:val="22"/>
                <w:szCs w:val="22"/>
              </w:rPr>
            </w:pPr>
            <w:r w:rsidRPr="004F29CC">
              <w:rPr>
                <w:color w:val="44546A" w:themeColor="text2"/>
                <w:sz w:val="22"/>
                <w:szCs w:val="22"/>
              </w:rPr>
              <w:t>Résultat de ces politiques, incluant des indicateurs clés de performance</w:t>
            </w:r>
            <w:r w:rsidRPr="004F29CC">
              <w:rPr>
                <w:b/>
                <w:color w:val="44546A" w:themeColor="text2"/>
                <w:sz w:val="22"/>
                <w:szCs w:val="22"/>
              </w:rPr>
              <w:t> </w:t>
            </w:r>
          </w:p>
        </w:tc>
      </w:tr>
      <w:tr w:rsidR="00E36548" w:rsidRPr="00D50ACC" w14:paraId="547A0F2B" w14:textId="77777777" w:rsidTr="00B45B7D">
        <w:trPr>
          <w:gridAfter w:val="1"/>
          <w:wAfter w:w="1271" w:type="dxa"/>
        </w:trPr>
        <w:tc>
          <w:tcPr>
            <w:tcW w:w="9214" w:type="dxa"/>
          </w:tcPr>
          <w:p w14:paraId="0EB4F58B" w14:textId="77777777" w:rsidR="00E36548" w:rsidRDefault="00E36548" w:rsidP="00B45B7D">
            <w:pPr>
              <w:pStyle w:val="Texte"/>
              <w:spacing w:before="240" w:after="120" w:line="240" w:lineRule="auto"/>
              <w:jc w:val="both"/>
              <w:rPr>
                <w:rFonts w:ascii="Times New Roman" w:hAnsi="Times New Roman"/>
                <w:b/>
                <w:bCs/>
                <w:color w:val="000000" w:themeColor="text1"/>
                <w:sz w:val="22"/>
                <w:szCs w:val="22"/>
              </w:rPr>
            </w:pPr>
            <w:r w:rsidRPr="0028574F">
              <w:rPr>
                <w:rFonts w:ascii="Times New Roman" w:hAnsi="Times New Roman"/>
                <w:b/>
                <w:bCs/>
                <w:color w:val="000000" w:themeColor="text1"/>
                <w:sz w:val="22"/>
                <w:szCs w:val="22"/>
              </w:rPr>
              <w:t xml:space="preserve">Préparation de </w:t>
            </w:r>
            <w:r>
              <w:rPr>
                <w:rFonts w:ascii="Times New Roman" w:hAnsi="Times New Roman"/>
                <w:b/>
                <w:bCs/>
                <w:color w:val="000000" w:themeColor="text1"/>
                <w:sz w:val="22"/>
                <w:szCs w:val="22"/>
              </w:rPr>
              <w:t xml:space="preserve">la déclaration de performance </w:t>
            </w:r>
            <w:r w:rsidRPr="002378F0">
              <w:rPr>
                <w:rFonts w:ascii="Times New Roman" w:hAnsi="Times New Roman"/>
                <w:b/>
                <w:bCs/>
                <w:color w:val="000000" w:themeColor="text1"/>
                <w:sz w:val="22"/>
                <w:szCs w:val="22"/>
              </w:rPr>
              <w:t>extra-financière</w:t>
            </w:r>
          </w:p>
          <w:p w14:paraId="4F3C7B69" w14:textId="77777777" w:rsidR="00E36548" w:rsidRPr="00995614" w:rsidRDefault="00E36548" w:rsidP="00B45B7D">
            <w:pPr>
              <w:pStyle w:val="Default"/>
              <w:spacing w:before="120" w:beforeAutospacing="0" w:after="40" w:afterAutospacing="0"/>
              <w:rPr>
                <w:rFonts w:ascii="Times New Roman" w:hAnsi="Times New Roman" w:cs="Times New Roman"/>
                <w:color w:val="000000" w:themeColor="text1"/>
                <w:sz w:val="22"/>
                <w:szCs w:val="22"/>
              </w:rPr>
            </w:pPr>
            <w:r w:rsidRPr="0028574F">
              <w:rPr>
                <w:rFonts w:ascii="Times New Roman" w:hAnsi="Times New Roman" w:cs="Times New Roman"/>
                <w:color w:val="000000" w:themeColor="text1"/>
                <w:sz w:val="22"/>
                <w:szCs w:val="22"/>
              </w:rPr>
              <w:t>L'absence de cadre de référence généralement accepté et communément utilisé ou de pratiques établies sur le</w:t>
            </w:r>
            <w:r>
              <w:rPr>
                <w:rFonts w:ascii="Times New Roman" w:hAnsi="Times New Roman" w:cs="Times New Roman"/>
                <w:color w:val="000000" w:themeColor="text1"/>
                <w:sz w:val="22"/>
                <w:szCs w:val="22"/>
              </w:rPr>
              <w:t>s</w:t>
            </w:r>
            <w:r w:rsidRPr="0028574F">
              <w:rPr>
                <w:rFonts w:ascii="Times New Roman" w:hAnsi="Times New Roman" w:cs="Times New Roman"/>
                <w:color w:val="000000" w:themeColor="text1"/>
                <w:sz w:val="22"/>
                <w:szCs w:val="22"/>
              </w:rPr>
              <w:t>quel</w:t>
            </w:r>
            <w:r>
              <w:rPr>
                <w:rFonts w:ascii="Times New Roman" w:hAnsi="Times New Roman" w:cs="Times New Roman"/>
                <w:color w:val="000000" w:themeColor="text1"/>
                <w:sz w:val="22"/>
                <w:szCs w:val="22"/>
              </w:rPr>
              <w:t>s</w:t>
            </w:r>
            <w:r w:rsidRPr="0028574F">
              <w:rPr>
                <w:rFonts w:ascii="Times New Roman" w:hAnsi="Times New Roman" w:cs="Times New Roman"/>
                <w:color w:val="000000" w:themeColor="text1"/>
                <w:sz w:val="22"/>
                <w:szCs w:val="22"/>
              </w:rPr>
              <w:t xml:space="preserve"> s'appuyer pour évaluer et mesurer les </w:t>
            </w:r>
            <w:r>
              <w:rPr>
                <w:rFonts w:ascii="Times New Roman" w:hAnsi="Times New Roman" w:cs="Times New Roman"/>
                <w:color w:val="000000" w:themeColor="text1"/>
                <w:sz w:val="22"/>
                <w:szCs w:val="22"/>
              </w:rPr>
              <w:t>I</w:t>
            </w:r>
            <w:r w:rsidRPr="0028574F">
              <w:rPr>
                <w:rFonts w:ascii="Times New Roman" w:hAnsi="Times New Roman" w:cs="Times New Roman"/>
                <w:color w:val="000000" w:themeColor="text1"/>
                <w:sz w:val="22"/>
                <w:szCs w:val="22"/>
              </w:rPr>
              <w:t xml:space="preserve">nformations permet d'utiliser des techniques de mesure différentes, mais acceptables, pouvant affecter la </w:t>
            </w:r>
            <w:r w:rsidRPr="00995614">
              <w:rPr>
                <w:rFonts w:ascii="Times New Roman" w:hAnsi="Times New Roman" w:cs="Times New Roman"/>
                <w:color w:val="000000" w:themeColor="text1"/>
                <w:sz w:val="22"/>
                <w:szCs w:val="22"/>
              </w:rPr>
              <w:t>comparabilité entre les entités et dans le temps.</w:t>
            </w:r>
          </w:p>
          <w:p w14:paraId="5E574189" w14:textId="77777777" w:rsidR="00E36548" w:rsidRPr="00D50ACC" w:rsidRDefault="00E36548" w:rsidP="00B45B7D">
            <w:pPr>
              <w:pStyle w:val="Texte"/>
              <w:spacing w:after="120" w:line="240" w:lineRule="auto"/>
              <w:jc w:val="both"/>
              <w:rPr>
                <w:rFonts w:ascii="Times New Roman" w:hAnsi="Times New Roman"/>
                <w:color w:val="4472C4" w:themeColor="accent1"/>
                <w:sz w:val="22"/>
                <w:szCs w:val="22"/>
              </w:rPr>
            </w:pPr>
            <w:r w:rsidRPr="00995614">
              <w:rPr>
                <w:rFonts w:ascii="Times New Roman" w:hAnsi="Times New Roman"/>
                <w:color w:val="000000" w:themeColor="text1"/>
                <w:sz w:val="22"/>
                <w:szCs w:val="22"/>
              </w:rPr>
              <w:t xml:space="preserve">Par conséquent, les </w:t>
            </w:r>
            <w:r w:rsidRPr="00BD3B94">
              <w:rPr>
                <w:rFonts w:ascii="Times New Roman" w:hAnsi="Times New Roman"/>
                <w:color w:val="000000" w:themeColor="text1"/>
                <w:sz w:val="22"/>
                <w:szCs w:val="22"/>
              </w:rPr>
              <w:t>Informations</w:t>
            </w:r>
            <w:r w:rsidRPr="00995614">
              <w:rPr>
                <w:rFonts w:ascii="Times New Roman" w:hAnsi="Times New Roman"/>
                <w:color w:val="000000" w:themeColor="text1"/>
                <w:sz w:val="22"/>
                <w:szCs w:val="22"/>
              </w:rPr>
              <w:t xml:space="preserve"> doivent être lues et comprises en se référant au Référentiel dont les éléments significatifs sont présentés dans la Déclaration (ou disponible(s) sur le site internet ou sur demande … [par exemple au siège de l’entité])</w:t>
            </w:r>
            <w:r w:rsidRPr="00995614">
              <w:rPr>
                <w:rFonts w:ascii="Times New Roman" w:hAnsi="Times New Roman"/>
                <w:color w:val="000000" w:themeColor="text1"/>
                <w:sz w:val="22"/>
                <w:vertAlign w:val="superscript"/>
              </w:rPr>
              <w:footnoteReference w:id="7"/>
            </w:r>
            <w:r w:rsidRPr="00995614">
              <w:rPr>
                <w:rFonts w:ascii="Times New Roman" w:hAnsi="Times New Roman"/>
                <w:color w:val="000000" w:themeColor="text1"/>
                <w:sz w:val="22"/>
                <w:szCs w:val="22"/>
              </w:rPr>
              <w:t>.</w:t>
            </w:r>
          </w:p>
        </w:tc>
      </w:tr>
      <w:tr w:rsidR="00E36548" w:rsidRPr="00D21F50" w14:paraId="27B7DCAF" w14:textId="77777777" w:rsidTr="00B45B7D">
        <w:trPr>
          <w:gridAfter w:val="1"/>
          <w:wAfter w:w="1271" w:type="dxa"/>
          <w:trHeight w:val="2184"/>
        </w:trPr>
        <w:tc>
          <w:tcPr>
            <w:tcW w:w="9214" w:type="dxa"/>
          </w:tcPr>
          <w:p w14:paraId="69A4BBC3" w14:textId="77777777" w:rsidR="00E36548" w:rsidRPr="00995614" w:rsidRDefault="00E36548" w:rsidP="00B45B7D">
            <w:pPr>
              <w:pStyle w:val="TexteGrasItalic"/>
              <w:keepNext w:val="0"/>
              <w:keepLines w:val="0"/>
              <w:widowControl w:val="0"/>
              <w:spacing w:before="120" w:after="120" w:line="240" w:lineRule="auto"/>
              <w:jc w:val="both"/>
              <w:rPr>
                <w:rFonts w:ascii="Times New Roman" w:hAnsi="Times New Roman"/>
                <w:i w:val="0"/>
                <w:color w:val="000000" w:themeColor="text1"/>
                <w:sz w:val="22"/>
                <w:szCs w:val="22"/>
                <w:lang w:val="fr-FR"/>
              </w:rPr>
            </w:pPr>
            <w:r w:rsidRPr="00995614">
              <w:rPr>
                <w:rFonts w:ascii="Times New Roman" w:hAnsi="Times New Roman"/>
                <w:i w:val="0"/>
                <w:color w:val="000000" w:themeColor="text1"/>
                <w:sz w:val="22"/>
                <w:szCs w:val="22"/>
                <w:lang w:val="fr-FR"/>
              </w:rPr>
              <w:lastRenderedPageBreak/>
              <w:t xml:space="preserve">Limites inhérentes à la préparation des Informations </w:t>
            </w:r>
          </w:p>
          <w:p w14:paraId="6FC40B31" w14:textId="77777777" w:rsidR="00E36548" w:rsidRPr="00995614" w:rsidRDefault="00E36548" w:rsidP="00B45B7D">
            <w:pPr>
              <w:widowControl w:val="0"/>
              <w:overflowPunct w:val="0"/>
              <w:autoSpaceDE w:val="0"/>
              <w:autoSpaceDN w:val="0"/>
              <w:spacing w:before="120" w:beforeAutospacing="0" w:after="0" w:afterAutospacing="0"/>
              <w:textAlignment w:val="baseline"/>
              <w:rPr>
                <w:color w:val="000000" w:themeColor="text1"/>
              </w:rPr>
            </w:pPr>
            <w:r w:rsidRPr="00995614">
              <w:rPr>
                <w:color w:val="000000" w:themeColor="text1"/>
              </w:rPr>
              <w:t>[</w:t>
            </w:r>
            <w:r w:rsidRPr="00995614">
              <w:rPr>
                <w:i/>
                <w:color w:val="000000" w:themeColor="text1"/>
              </w:rPr>
              <w:t>Le cas échéant</w:t>
            </w:r>
            <w:r w:rsidRPr="00995614">
              <w:rPr>
                <w:color w:val="000000" w:themeColor="text1"/>
              </w:rPr>
              <w:t xml:space="preserve">, Comme indiqué dans la Déclaration,] </w:t>
            </w:r>
            <w:r w:rsidRPr="00995614">
              <w:rPr>
                <w:bCs/>
                <w:color w:val="000000" w:themeColor="text1"/>
                <w:szCs w:val="22"/>
              </w:rPr>
              <w:t xml:space="preserve">les </w:t>
            </w:r>
            <w:r w:rsidRPr="00BD3B94">
              <w:rPr>
                <w:bCs/>
                <w:color w:val="000000" w:themeColor="text1"/>
                <w:szCs w:val="22"/>
              </w:rPr>
              <w:t>Informations</w:t>
            </w:r>
            <w:r w:rsidRPr="00995614">
              <w:rPr>
                <w:bCs/>
                <w:color w:val="000000" w:themeColor="text1"/>
                <w:szCs w:val="22"/>
              </w:rPr>
              <w:t xml:space="preserve"> </w:t>
            </w:r>
            <w:r w:rsidRPr="00995614">
              <w:rPr>
                <w:color w:val="000000" w:themeColor="text1"/>
              </w:rPr>
              <w:t xml:space="preserve">peuvent être sujettes à une incertitude inhérente </w:t>
            </w:r>
            <w:r w:rsidRPr="00995614">
              <w:rPr>
                <w:bCs/>
                <w:color w:val="000000" w:themeColor="text1"/>
                <w:szCs w:val="22"/>
              </w:rPr>
              <w:t>à</w:t>
            </w:r>
            <w:r w:rsidRPr="00995614">
              <w:rPr>
                <w:color w:val="000000" w:themeColor="text1"/>
              </w:rPr>
              <w:t xml:space="preserve"> l’état des connaissances scientifiques ou économiques </w:t>
            </w:r>
            <w:r w:rsidRPr="00995614">
              <w:rPr>
                <w:bCs/>
                <w:color w:val="000000" w:themeColor="text1"/>
                <w:szCs w:val="22"/>
              </w:rPr>
              <w:t>et à la qualité des données externes utilisées. Certaines informations sont sensibles aux choix méthodologiques, hypothèses et/ou estimations retenues pour leur établissement et présentées dans la Déclaration</w:t>
            </w:r>
            <w:r w:rsidRPr="00995614">
              <w:rPr>
                <w:color w:val="000000" w:themeColor="text1"/>
              </w:rPr>
              <w:t>.</w:t>
            </w:r>
          </w:p>
          <w:p w14:paraId="4EEE5175" w14:textId="77777777" w:rsidR="00E36548" w:rsidRPr="00995614" w:rsidRDefault="00E36548" w:rsidP="00B45B7D">
            <w:pPr>
              <w:widowControl w:val="0"/>
              <w:overflowPunct w:val="0"/>
              <w:autoSpaceDE w:val="0"/>
              <w:autoSpaceDN w:val="0"/>
              <w:spacing w:before="120" w:beforeAutospacing="0" w:after="0" w:afterAutospacing="0"/>
              <w:textAlignment w:val="baseline"/>
              <w:rPr>
                <w:color w:val="000000" w:themeColor="text1"/>
                <w:szCs w:val="22"/>
              </w:rPr>
            </w:pPr>
            <w:r w:rsidRPr="00995614">
              <w:rPr>
                <w:color w:val="000000" w:themeColor="text1"/>
                <w:szCs w:val="22"/>
              </w:rPr>
              <w:t>[</w:t>
            </w:r>
            <w:r w:rsidRPr="00995614">
              <w:rPr>
                <w:i/>
                <w:iCs/>
                <w:color w:val="000000" w:themeColor="text1"/>
                <w:szCs w:val="22"/>
              </w:rPr>
              <w:t>Si l’OTI le juge nécessaire en fonction des circonstances :</w:t>
            </w:r>
            <w:r w:rsidRPr="00995614">
              <w:rPr>
                <w:color w:val="000000" w:themeColor="text1"/>
                <w:szCs w:val="22"/>
              </w:rPr>
              <w:t xml:space="preserve"> </w:t>
            </w:r>
            <w:r w:rsidRPr="00995614">
              <w:rPr>
                <w:i/>
                <w:iCs/>
                <w:color w:val="000000" w:themeColor="text1"/>
                <w:szCs w:val="22"/>
              </w:rPr>
              <w:t>à compléter si des limites inhérentes spécifiques à l’entité sont précisées dans la Déclaration</w:t>
            </w:r>
            <w:r w:rsidRPr="00995614">
              <w:rPr>
                <w:color w:val="000000" w:themeColor="text1"/>
                <w:szCs w:val="22"/>
              </w:rPr>
              <w:t>]</w:t>
            </w:r>
          </w:p>
        </w:tc>
      </w:tr>
      <w:tr w:rsidR="00E36548" w:rsidRPr="00D516AC" w14:paraId="2DC632C8" w14:textId="77777777" w:rsidTr="00B45B7D">
        <w:trPr>
          <w:gridAfter w:val="1"/>
          <w:wAfter w:w="1271" w:type="dxa"/>
        </w:trPr>
        <w:tc>
          <w:tcPr>
            <w:tcW w:w="9214" w:type="dxa"/>
          </w:tcPr>
          <w:p w14:paraId="5399DD9F" w14:textId="77777777" w:rsidR="00E36548" w:rsidRPr="00995614" w:rsidRDefault="00E36548" w:rsidP="00FA14D5">
            <w:pPr>
              <w:pStyle w:val="TexteGrasItalic"/>
              <w:keepNext w:val="0"/>
              <w:keepLines w:val="0"/>
              <w:widowControl w:val="0"/>
              <w:spacing w:before="160" w:after="120" w:line="240" w:lineRule="auto"/>
              <w:jc w:val="both"/>
              <w:rPr>
                <w:rFonts w:ascii="Times New Roman" w:hAnsi="Times New Roman"/>
                <w:i w:val="0"/>
                <w:sz w:val="22"/>
                <w:szCs w:val="22"/>
                <w:lang w:val="fr-FR"/>
              </w:rPr>
            </w:pPr>
            <w:r w:rsidRPr="00995614">
              <w:rPr>
                <w:rFonts w:ascii="Times New Roman" w:hAnsi="Times New Roman"/>
                <w:i w:val="0"/>
                <w:sz w:val="22"/>
                <w:szCs w:val="22"/>
                <w:lang w:val="fr-FR"/>
              </w:rPr>
              <w:t xml:space="preserve">Responsabilité de l’entité  </w:t>
            </w:r>
          </w:p>
          <w:p w14:paraId="50D7F181" w14:textId="77777777" w:rsidR="00E36548" w:rsidRPr="00995614" w:rsidRDefault="00E36548" w:rsidP="00B45B7D">
            <w:pPr>
              <w:widowControl w:val="0"/>
              <w:spacing w:before="120" w:beforeAutospacing="0" w:after="0" w:afterAutospacing="0"/>
              <w:rPr>
                <w:szCs w:val="22"/>
              </w:rPr>
            </w:pPr>
            <w:r w:rsidRPr="00995614">
              <w:rPr>
                <w:szCs w:val="22"/>
              </w:rPr>
              <w:t xml:space="preserve">Il appartient </w:t>
            </w:r>
            <w:r>
              <w:rPr>
                <w:szCs w:val="22"/>
              </w:rPr>
              <w:t xml:space="preserve">à la direction de : </w:t>
            </w:r>
          </w:p>
          <w:p w14:paraId="0758CC6A" w14:textId="77777777" w:rsidR="00E36548" w:rsidRPr="00995614" w:rsidRDefault="00E36548" w:rsidP="00E36548">
            <w:pPr>
              <w:pStyle w:val="Paragraphedeliste"/>
              <w:widowControl w:val="0"/>
              <w:numPr>
                <w:ilvl w:val="0"/>
                <w:numId w:val="12"/>
              </w:numPr>
              <w:spacing w:before="0" w:beforeAutospacing="0" w:after="0" w:afterAutospacing="0"/>
              <w:contextualSpacing w:val="0"/>
              <w:rPr>
                <w:szCs w:val="22"/>
              </w:rPr>
            </w:pPr>
            <w:proofErr w:type="gramStart"/>
            <w:r w:rsidRPr="00995614">
              <w:rPr>
                <w:szCs w:val="22"/>
              </w:rPr>
              <w:t>sélectionner</w:t>
            </w:r>
            <w:proofErr w:type="gramEnd"/>
            <w:r w:rsidRPr="00995614">
              <w:rPr>
                <w:szCs w:val="22"/>
              </w:rPr>
              <w:t xml:space="preserve"> ou d’établir des critères appropriés pour la préparation des </w:t>
            </w:r>
            <w:r w:rsidRPr="00BD3B94">
              <w:rPr>
                <w:szCs w:val="22"/>
              </w:rPr>
              <w:t>Informations</w:t>
            </w:r>
            <w:r w:rsidRPr="00995614">
              <w:rPr>
                <w:szCs w:val="22"/>
              </w:rPr>
              <w:t> ;</w:t>
            </w:r>
          </w:p>
          <w:p w14:paraId="74A6BD38" w14:textId="77777777" w:rsidR="00E36548" w:rsidRDefault="00E36548" w:rsidP="00E36548">
            <w:pPr>
              <w:pStyle w:val="Paragraphedeliste"/>
              <w:widowControl w:val="0"/>
              <w:numPr>
                <w:ilvl w:val="0"/>
                <w:numId w:val="12"/>
              </w:numPr>
              <w:spacing w:before="0" w:beforeAutospacing="0" w:after="0" w:afterAutospacing="0"/>
              <w:contextualSpacing w:val="0"/>
              <w:rPr>
                <w:szCs w:val="22"/>
              </w:rPr>
            </w:pPr>
            <w:proofErr w:type="gramStart"/>
            <w:r>
              <w:rPr>
                <w:szCs w:val="22"/>
              </w:rPr>
              <w:t>préparer</w:t>
            </w:r>
            <w:proofErr w:type="gramEnd"/>
            <w:r w:rsidRPr="00995614">
              <w:rPr>
                <w:szCs w:val="22"/>
              </w:rPr>
              <w:t xml:space="preserve"> une Déclaration conforme aux dispositions légales et réglementaires, incluant une présentation du modèle d’affaires, une description des principaux risques extra</w:t>
            </w:r>
            <w:r w:rsidRPr="00995614">
              <w:rPr>
                <w:szCs w:val="22"/>
              </w:rPr>
              <w:noBreakHyphen/>
              <w:t>financiers, une présentation des politiques appliquées au regard de ces risques ainsi que les résultats de ces politiques, incluant des indicateurs clés de performance et par ailleurs les informations prévues par l'article 8 du règlement (UE) 2020/852 (taxonomie verte) ;</w:t>
            </w:r>
          </w:p>
          <w:p w14:paraId="3BB60ED2" w14:textId="77777777" w:rsidR="00E36548" w:rsidRDefault="00E36548" w:rsidP="00E36548">
            <w:pPr>
              <w:pStyle w:val="Paragraphedeliste"/>
              <w:widowControl w:val="0"/>
              <w:numPr>
                <w:ilvl w:val="0"/>
                <w:numId w:val="12"/>
              </w:numPr>
              <w:spacing w:before="360" w:beforeAutospacing="0" w:after="0" w:afterAutospacing="0"/>
              <w:rPr>
                <w:szCs w:val="22"/>
              </w:rPr>
            </w:pPr>
            <w:proofErr w:type="gramStart"/>
            <w:r>
              <w:rPr>
                <w:szCs w:val="22"/>
              </w:rPr>
              <w:t>préparer</w:t>
            </w:r>
            <w:proofErr w:type="gramEnd"/>
            <w:r>
              <w:rPr>
                <w:szCs w:val="22"/>
              </w:rPr>
              <w:t xml:space="preserve"> la Déclaration </w:t>
            </w:r>
            <w:r w:rsidRPr="00141404">
              <w:rPr>
                <w:szCs w:val="22"/>
              </w:rPr>
              <w:t>en appliquant le Référentiel de l’entité tel que mentionné ci-avant</w:t>
            </w:r>
            <w:r>
              <w:rPr>
                <w:szCs w:val="22"/>
              </w:rPr>
              <w:t> ; ainsi que</w:t>
            </w:r>
          </w:p>
          <w:p w14:paraId="52636355" w14:textId="77777777" w:rsidR="00E36548" w:rsidRPr="004273E3" w:rsidRDefault="00E36548" w:rsidP="00E36548">
            <w:pPr>
              <w:pStyle w:val="Paragraphedeliste"/>
              <w:widowControl w:val="0"/>
              <w:numPr>
                <w:ilvl w:val="0"/>
                <w:numId w:val="12"/>
              </w:numPr>
              <w:spacing w:before="0" w:beforeAutospacing="0" w:after="0" w:afterAutospacing="0"/>
              <w:contextualSpacing w:val="0"/>
              <w:rPr>
                <w:szCs w:val="22"/>
              </w:rPr>
            </w:pPr>
            <w:proofErr w:type="gramStart"/>
            <w:r w:rsidRPr="004273E3">
              <w:rPr>
                <w:szCs w:val="22"/>
              </w:rPr>
              <w:t>mettre</w:t>
            </w:r>
            <w:proofErr w:type="gramEnd"/>
            <w:r w:rsidRPr="004273E3">
              <w:rPr>
                <w:szCs w:val="22"/>
              </w:rPr>
              <w:t xml:space="preserve"> en place le contrôle interne qu’</w:t>
            </w:r>
            <w:r>
              <w:rPr>
                <w:szCs w:val="22"/>
              </w:rPr>
              <w:t>elle</w:t>
            </w:r>
            <w:r w:rsidRPr="004273E3">
              <w:rPr>
                <w:szCs w:val="22"/>
              </w:rPr>
              <w:t xml:space="preserve"> estime nécessaire à l’établissement des Informations ne comportant pas d’anomalies significatives, que celles-ci proviennent de fraudes ou résultent d’erreurs. </w:t>
            </w:r>
          </w:p>
          <w:p w14:paraId="49E693F0" w14:textId="77777777" w:rsidR="00E36548" w:rsidRPr="00995614" w:rsidRDefault="00E36548" w:rsidP="00B45B7D">
            <w:pPr>
              <w:widowControl w:val="0"/>
              <w:spacing w:before="120" w:beforeAutospacing="0" w:after="120" w:afterAutospacing="0"/>
              <w:rPr>
                <w:szCs w:val="22"/>
              </w:rPr>
            </w:pPr>
            <w:r w:rsidRPr="00995614">
              <w:rPr>
                <w:szCs w:val="22"/>
              </w:rPr>
              <w:t xml:space="preserve">La Déclaration a été établie </w:t>
            </w:r>
            <w:r>
              <w:rPr>
                <w:szCs w:val="22"/>
              </w:rPr>
              <w:t xml:space="preserve">par le … </w:t>
            </w:r>
            <w:r w:rsidRPr="00995614">
              <w:rPr>
                <w:szCs w:val="22"/>
              </w:rPr>
              <w:t>[</w:t>
            </w:r>
            <w:r>
              <w:rPr>
                <w:szCs w:val="22"/>
              </w:rPr>
              <w:t xml:space="preserve">à préciser : </w:t>
            </w:r>
            <w:r w:rsidRPr="00190D92">
              <w:rPr>
                <w:i/>
                <w:iCs/>
                <w:szCs w:val="22"/>
              </w:rPr>
              <w:t>Conseil d’administration/Directoire/ …</w:t>
            </w:r>
            <w:r w:rsidRPr="00995614">
              <w:rPr>
                <w:szCs w:val="22"/>
              </w:rPr>
              <w:t xml:space="preserve">]. </w:t>
            </w:r>
          </w:p>
        </w:tc>
      </w:tr>
      <w:tr w:rsidR="00E36548" w:rsidRPr="00333C51" w14:paraId="1396CF73" w14:textId="77777777" w:rsidTr="00B45B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2"/>
            <w:tcBorders>
              <w:top w:val="nil"/>
              <w:left w:val="nil"/>
              <w:bottom w:val="nil"/>
              <w:right w:val="nil"/>
            </w:tcBorders>
          </w:tcPr>
          <w:p w14:paraId="2796FF45" w14:textId="77777777" w:rsidR="00E36548" w:rsidRPr="00333C51" w:rsidRDefault="00E36548" w:rsidP="00B45B7D">
            <w:pPr>
              <w:pStyle w:val="TexteGrasItalic"/>
              <w:keepNext w:val="0"/>
              <w:keepLines w:val="0"/>
              <w:widowControl w:val="0"/>
              <w:spacing w:before="240" w:after="0" w:line="240" w:lineRule="auto"/>
              <w:jc w:val="both"/>
              <w:rPr>
                <w:rFonts w:ascii="Times New Roman" w:hAnsi="Times New Roman"/>
                <w:i w:val="0"/>
                <w:sz w:val="22"/>
                <w:szCs w:val="22"/>
                <w:lang w:val="fr-FR"/>
              </w:rPr>
            </w:pPr>
            <w:r w:rsidRPr="00333C51">
              <w:rPr>
                <w:rFonts w:ascii="Times New Roman" w:hAnsi="Times New Roman"/>
                <w:i w:val="0"/>
                <w:sz w:val="22"/>
                <w:szCs w:val="22"/>
                <w:lang w:val="fr-FR"/>
              </w:rPr>
              <w:t>Responsabilité du commissaire aux comptes désigné organisme tiers indépendant</w:t>
            </w:r>
          </w:p>
          <w:p w14:paraId="66CBC105" w14:textId="77777777" w:rsidR="00E36548" w:rsidRPr="004F29CC" w:rsidRDefault="00E36548" w:rsidP="00B45B7D">
            <w:pPr>
              <w:pStyle w:val="Texte"/>
              <w:keepLines w:val="0"/>
              <w:widowControl w:val="0"/>
              <w:tabs>
                <w:tab w:val="left" w:pos="6600"/>
              </w:tabs>
              <w:spacing w:before="120" w:after="0" w:line="240" w:lineRule="auto"/>
              <w:ind w:right="1165"/>
              <w:jc w:val="both"/>
              <w:rPr>
                <w:rFonts w:ascii="Times New Roman" w:hAnsi="Times New Roman"/>
                <w:sz w:val="22"/>
                <w:szCs w:val="22"/>
              </w:rPr>
            </w:pPr>
            <w:r w:rsidRPr="004F29CC">
              <w:rPr>
                <w:rFonts w:ascii="Times New Roman" w:hAnsi="Times New Roman"/>
                <w:sz w:val="22"/>
                <w:szCs w:val="22"/>
              </w:rPr>
              <w:t>Il nous appartient, sur la base de nos travaux, de formuler un avis motivé exprimant une conclusion d’assurance modérée sur :</w:t>
            </w:r>
          </w:p>
          <w:p w14:paraId="31B8DD8B" w14:textId="77777777" w:rsidR="00E36548" w:rsidRPr="004F29CC" w:rsidRDefault="00E36548" w:rsidP="00E36548">
            <w:pPr>
              <w:pStyle w:val="Texte"/>
              <w:keepLines w:val="0"/>
              <w:widowControl w:val="0"/>
              <w:numPr>
                <w:ilvl w:val="0"/>
                <w:numId w:val="8"/>
              </w:numPr>
              <w:tabs>
                <w:tab w:val="left" w:pos="6600"/>
              </w:tabs>
              <w:spacing w:before="40" w:after="0" w:line="240" w:lineRule="auto"/>
              <w:ind w:left="357" w:right="1165" w:hanging="357"/>
              <w:jc w:val="both"/>
              <w:rPr>
                <w:rFonts w:ascii="Times New Roman" w:hAnsi="Times New Roman"/>
                <w:sz w:val="22"/>
                <w:szCs w:val="22"/>
              </w:rPr>
            </w:pPr>
            <w:proofErr w:type="gramStart"/>
            <w:r w:rsidRPr="004F29CC">
              <w:rPr>
                <w:rFonts w:ascii="Times New Roman" w:hAnsi="Times New Roman"/>
                <w:sz w:val="22"/>
                <w:szCs w:val="22"/>
              </w:rPr>
              <w:t>la</w:t>
            </w:r>
            <w:proofErr w:type="gramEnd"/>
            <w:r w:rsidRPr="004F29CC">
              <w:rPr>
                <w:rFonts w:ascii="Times New Roman" w:hAnsi="Times New Roman"/>
                <w:sz w:val="22"/>
                <w:szCs w:val="22"/>
              </w:rPr>
              <w:t xml:space="preserve"> conformité de la Déclaration aux dispositions prévues à l’article R. 225-105 du code de commerce ;</w:t>
            </w:r>
          </w:p>
          <w:p w14:paraId="1C17F996" w14:textId="77777777" w:rsidR="00E36548" w:rsidRPr="00995614" w:rsidRDefault="00E36548" w:rsidP="00E36548">
            <w:pPr>
              <w:pStyle w:val="Texte"/>
              <w:keepLines w:val="0"/>
              <w:widowControl w:val="0"/>
              <w:numPr>
                <w:ilvl w:val="0"/>
                <w:numId w:val="8"/>
              </w:numPr>
              <w:tabs>
                <w:tab w:val="left" w:pos="6600"/>
              </w:tabs>
              <w:spacing w:before="40" w:after="0" w:line="240" w:lineRule="auto"/>
              <w:ind w:left="357" w:right="1165" w:hanging="357"/>
              <w:jc w:val="both"/>
              <w:rPr>
                <w:rFonts w:ascii="Times New Roman" w:hAnsi="Times New Roman"/>
                <w:sz w:val="22"/>
                <w:szCs w:val="22"/>
              </w:rPr>
            </w:pPr>
            <w:proofErr w:type="gramStart"/>
            <w:r w:rsidRPr="004F29CC">
              <w:rPr>
                <w:rFonts w:ascii="Times New Roman" w:hAnsi="Times New Roman"/>
                <w:sz w:val="22"/>
                <w:szCs w:val="22"/>
              </w:rPr>
              <w:t>la</w:t>
            </w:r>
            <w:proofErr w:type="gramEnd"/>
            <w:r w:rsidRPr="004F29CC">
              <w:rPr>
                <w:rFonts w:ascii="Times New Roman" w:hAnsi="Times New Roman"/>
                <w:sz w:val="22"/>
                <w:szCs w:val="22"/>
              </w:rPr>
              <w:t xml:space="preserve"> sincérité des informations </w:t>
            </w:r>
            <w:r>
              <w:rPr>
                <w:rFonts w:ascii="Times New Roman" w:hAnsi="Times New Roman"/>
                <w:sz w:val="22"/>
                <w:szCs w:val="22"/>
              </w:rPr>
              <w:t xml:space="preserve">historiques (constatées ou extrapolées) </w:t>
            </w:r>
            <w:r w:rsidRPr="00995614">
              <w:rPr>
                <w:rFonts w:ascii="Times New Roman" w:hAnsi="Times New Roman"/>
                <w:sz w:val="22"/>
                <w:szCs w:val="22"/>
              </w:rPr>
              <w:t>fournies en application du 3° du I et du II de l’article R. 225</w:t>
            </w:r>
            <w:r w:rsidRPr="00995614">
              <w:rPr>
                <w:rFonts w:ascii="Times New Roman" w:hAnsi="Times New Roman"/>
                <w:sz w:val="22"/>
                <w:szCs w:val="22"/>
              </w:rPr>
              <w:noBreakHyphen/>
              <w:t>105 du code de commerce, à savoir les résultats des politiques, incluant des indicateurs clés de performance, et les actions, relatifs aux principaux risques</w:t>
            </w:r>
            <w:r>
              <w:rPr>
                <w:rFonts w:ascii="Times New Roman" w:hAnsi="Times New Roman"/>
                <w:sz w:val="22"/>
                <w:szCs w:val="22"/>
              </w:rPr>
              <w:t>.</w:t>
            </w:r>
          </w:p>
          <w:p w14:paraId="5ECEAC08" w14:textId="77777777" w:rsidR="00E36548" w:rsidRPr="007104D5" w:rsidRDefault="00E36548" w:rsidP="00B45B7D">
            <w:pPr>
              <w:pStyle w:val="Texte"/>
              <w:keepLines w:val="0"/>
              <w:widowControl w:val="0"/>
              <w:tabs>
                <w:tab w:val="left" w:pos="6600"/>
              </w:tabs>
              <w:spacing w:before="40" w:after="0" w:line="240" w:lineRule="auto"/>
              <w:ind w:right="1165"/>
              <w:jc w:val="both"/>
              <w:rPr>
                <w:rFonts w:ascii="Times New Roman" w:hAnsi="Times New Roman"/>
                <w:sz w:val="22"/>
              </w:rPr>
            </w:pPr>
            <w:r w:rsidRPr="00995614">
              <w:rPr>
                <w:rFonts w:ascii="Times New Roman" w:eastAsiaTheme="minorHAnsi" w:hAnsi="Times New Roman"/>
                <w:color w:val="000000"/>
                <w:sz w:val="22"/>
                <w:szCs w:val="22"/>
              </w:rPr>
              <w:t xml:space="preserve">Comme il nous appartient </w:t>
            </w:r>
            <w:r w:rsidRPr="00995614">
              <w:rPr>
                <w:rFonts w:ascii="Times New Roman" w:eastAsiaTheme="minorHAnsi" w:hAnsi="Times New Roman"/>
                <w:color w:val="000000"/>
                <w:sz w:val="22"/>
              </w:rPr>
              <w:t xml:space="preserve">de formuler une conclusion indépendante sur </w:t>
            </w:r>
            <w:r w:rsidRPr="00995614">
              <w:rPr>
                <w:rFonts w:ascii="Times New Roman" w:eastAsiaTheme="minorHAnsi" w:hAnsi="Times New Roman"/>
                <w:color w:val="000000"/>
                <w:sz w:val="22"/>
                <w:szCs w:val="22"/>
              </w:rPr>
              <w:t xml:space="preserve">les </w:t>
            </w:r>
            <w:r w:rsidRPr="00BD3B94">
              <w:rPr>
                <w:rFonts w:ascii="Times New Roman" w:eastAsiaTheme="minorHAnsi" w:hAnsi="Times New Roman"/>
                <w:color w:val="000000"/>
                <w:sz w:val="22"/>
                <w:szCs w:val="22"/>
              </w:rPr>
              <w:t>Informations</w:t>
            </w:r>
            <w:r w:rsidRPr="00995614">
              <w:rPr>
                <w:rFonts w:ascii="Times New Roman" w:eastAsiaTheme="minorHAnsi" w:hAnsi="Times New Roman"/>
                <w:color w:val="000000"/>
                <w:sz w:val="22"/>
                <w:szCs w:val="22"/>
              </w:rPr>
              <w:t xml:space="preserve"> telles que préparées par la direction, nous ne sommes pas autorisés à être impliqués dans la préparation desdites </w:t>
            </w:r>
            <w:r w:rsidRPr="00BD3B94">
              <w:rPr>
                <w:rFonts w:ascii="Times New Roman" w:eastAsiaTheme="minorHAnsi" w:hAnsi="Times New Roman"/>
                <w:color w:val="000000"/>
                <w:sz w:val="22"/>
                <w:szCs w:val="22"/>
              </w:rPr>
              <w:t>Informations</w:t>
            </w:r>
            <w:r w:rsidRPr="00995614">
              <w:rPr>
                <w:rFonts w:ascii="Times New Roman" w:eastAsiaTheme="minorHAnsi" w:hAnsi="Times New Roman"/>
                <w:color w:val="000000"/>
                <w:sz w:val="22"/>
                <w:szCs w:val="22"/>
              </w:rPr>
              <w:t>, car</w:t>
            </w:r>
            <w:r w:rsidRPr="006E12DB">
              <w:rPr>
                <w:rFonts w:ascii="Times New Roman" w:eastAsiaTheme="minorHAnsi" w:hAnsi="Times New Roman"/>
                <w:color w:val="000000"/>
                <w:sz w:val="22"/>
                <w:szCs w:val="22"/>
              </w:rPr>
              <w:t xml:space="preserve"> cela pourrait compromettre notre indépendance</w:t>
            </w:r>
            <w:r w:rsidRPr="007104D5">
              <w:rPr>
                <w:rFonts w:ascii="Times New Roman" w:eastAsiaTheme="minorHAnsi" w:hAnsi="Times New Roman"/>
                <w:color w:val="000000"/>
                <w:sz w:val="22"/>
              </w:rPr>
              <w:t>.</w:t>
            </w:r>
          </w:p>
          <w:p w14:paraId="39AAA61E" w14:textId="77777777" w:rsidR="00E36548" w:rsidRDefault="00E36548" w:rsidP="00B45B7D">
            <w:pPr>
              <w:pStyle w:val="Default"/>
              <w:widowControl w:val="0"/>
              <w:spacing w:before="120" w:beforeAutospacing="0" w:afterAutospacing="0"/>
              <w:rPr>
                <w:rFonts w:ascii="Times New Roman" w:hAnsi="Times New Roman"/>
                <w:sz w:val="22"/>
                <w:szCs w:val="22"/>
              </w:rPr>
            </w:pPr>
            <w:r w:rsidRPr="004F29CC">
              <w:rPr>
                <w:rFonts w:ascii="Times New Roman" w:hAnsi="Times New Roman"/>
                <w:sz w:val="22"/>
                <w:szCs w:val="22"/>
              </w:rPr>
              <w:t>Il ne nous appartient pas de nous prononcer sur</w:t>
            </w:r>
            <w:r>
              <w:rPr>
                <w:rFonts w:ascii="Times New Roman" w:hAnsi="Times New Roman"/>
                <w:sz w:val="22"/>
                <w:szCs w:val="22"/>
              </w:rPr>
              <w:t> :</w:t>
            </w:r>
          </w:p>
          <w:p w14:paraId="62B3A65C" w14:textId="77777777" w:rsidR="00E36548" w:rsidRDefault="00E36548" w:rsidP="00E36548">
            <w:pPr>
              <w:pStyle w:val="Default"/>
              <w:widowControl w:val="0"/>
              <w:numPr>
                <w:ilvl w:val="0"/>
                <w:numId w:val="11"/>
              </w:numPr>
              <w:spacing w:before="0" w:beforeAutospacing="0" w:afterAutospacing="0"/>
              <w:ind w:left="357" w:right="1165" w:hanging="357"/>
              <w:rPr>
                <w:rFonts w:ascii="Times New Roman" w:hAnsi="Times New Roman"/>
                <w:sz w:val="22"/>
                <w:szCs w:val="22"/>
              </w:rPr>
            </w:pPr>
            <w:proofErr w:type="gramStart"/>
            <w:r w:rsidRPr="00E55BE9">
              <w:rPr>
                <w:rFonts w:ascii="Times New Roman" w:hAnsi="Times New Roman"/>
                <w:sz w:val="22"/>
                <w:szCs w:val="22"/>
              </w:rPr>
              <w:t>le</w:t>
            </w:r>
            <w:proofErr w:type="gramEnd"/>
            <w:r w:rsidRPr="00E55BE9">
              <w:rPr>
                <w:rFonts w:ascii="Times New Roman" w:hAnsi="Times New Roman"/>
                <w:sz w:val="22"/>
                <w:szCs w:val="22"/>
              </w:rPr>
              <w:t xml:space="preserve"> respect par l’entité des autres dispositions légales et réglementaires applicables </w:t>
            </w:r>
            <w:r>
              <w:rPr>
                <w:rFonts w:ascii="Times New Roman" w:hAnsi="Times New Roman"/>
                <w:sz w:val="22"/>
                <w:szCs w:val="22"/>
              </w:rPr>
              <w:t>(</w:t>
            </w:r>
            <w:r w:rsidRPr="00E55BE9">
              <w:rPr>
                <w:rFonts w:ascii="Times New Roman" w:hAnsi="Times New Roman"/>
                <w:sz w:val="22"/>
                <w:szCs w:val="22"/>
              </w:rPr>
              <w:t xml:space="preserve">notamment en matière </w:t>
            </w:r>
            <w:r w:rsidRPr="00F80EF6">
              <w:rPr>
                <w:rFonts w:ascii="Times New Roman" w:hAnsi="Times New Roman"/>
                <w:sz w:val="22"/>
                <w:szCs w:val="22"/>
              </w:rPr>
              <w:t>d'informations prévues par l'article 8 du règlement (UE) 2020/852 (taxonomie verte)</w:t>
            </w:r>
            <w:bookmarkStart w:id="3" w:name="_Ref114144301"/>
            <w:r>
              <w:rPr>
                <w:rStyle w:val="Appelnotedebasdep"/>
                <w:rFonts w:ascii="Times New Roman" w:hAnsi="Times New Roman"/>
                <w:sz w:val="22"/>
                <w:szCs w:val="22"/>
              </w:rPr>
              <w:footnoteReference w:id="8"/>
            </w:r>
            <w:bookmarkEnd w:id="3"/>
            <w:r>
              <w:rPr>
                <w:rFonts w:ascii="Times New Roman" w:hAnsi="Times New Roman"/>
                <w:sz w:val="22"/>
                <w:szCs w:val="22"/>
              </w:rPr>
              <w:t xml:space="preserve">, </w:t>
            </w:r>
            <w:r w:rsidRPr="00E55BE9">
              <w:rPr>
                <w:rFonts w:ascii="Times New Roman" w:hAnsi="Times New Roman"/>
                <w:sz w:val="22"/>
                <w:szCs w:val="22"/>
              </w:rPr>
              <w:t>de plan de vigilance</w:t>
            </w:r>
            <w:r>
              <w:rPr>
                <w:rStyle w:val="Appelnotedebasdep"/>
                <w:rFonts w:ascii="Times New Roman" w:hAnsi="Times New Roman"/>
                <w:sz w:val="22"/>
                <w:szCs w:val="22"/>
              </w:rPr>
              <w:footnoteReference w:id="9"/>
            </w:r>
            <w:r w:rsidRPr="00E55BE9">
              <w:rPr>
                <w:rFonts w:ascii="Times New Roman" w:hAnsi="Times New Roman"/>
                <w:sz w:val="22"/>
                <w:szCs w:val="22"/>
              </w:rPr>
              <w:t xml:space="preserve"> et de lutte contre la corruption et l’évasion fiscale</w:t>
            </w:r>
            <w:r>
              <w:rPr>
                <w:rStyle w:val="Appelnotedebasdep"/>
                <w:rFonts w:ascii="Times New Roman" w:hAnsi="Times New Roman"/>
                <w:sz w:val="22"/>
                <w:szCs w:val="22"/>
              </w:rPr>
              <w:footnoteReference w:id="10"/>
            </w:r>
            <w:r>
              <w:rPr>
                <w:rFonts w:ascii="Times New Roman" w:hAnsi="Times New Roman"/>
                <w:sz w:val="22"/>
                <w:szCs w:val="22"/>
              </w:rPr>
              <w:t>) ;</w:t>
            </w:r>
          </w:p>
          <w:p w14:paraId="210212FB" w14:textId="23413898" w:rsidR="00E36548" w:rsidRDefault="00E36548" w:rsidP="00E36548">
            <w:pPr>
              <w:pStyle w:val="Default"/>
              <w:widowControl w:val="0"/>
              <w:numPr>
                <w:ilvl w:val="0"/>
                <w:numId w:val="11"/>
              </w:numPr>
              <w:spacing w:after="100"/>
              <w:rPr>
                <w:rFonts w:ascii="Times New Roman" w:hAnsi="Times New Roman"/>
                <w:sz w:val="22"/>
                <w:szCs w:val="22"/>
              </w:rPr>
            </w:pPr>
            <w:proofErr w:type="gramStart"/>
            <w:r>
              <w:rPr>
                <w:rFonts w:ascii="Times New Roman" w:hAnsi="Times New Roman"/>
                <w:sz w:val="22"/>
                <w:szCs w:val="22"/>
              </w:rPr>
              <w:t>la</w:t>
            </w:r>
            <w:proofErr w:type="gramEnd"/>
            <w:r>
              <w:rPr>
                <w:rFonts w:ascii="Times New Roman" w:hAnsi="Times New Roman"/>
                <w:sz w:val="22"/>
                <w:szCs w:val="22"/>
              </w:rPr>
              <w:t xml:space="preserve"> sincérité des informations prévues par l'article 8 du règlement (UE) 2020/852 (taxonomie verte)</w:t>
            </w:r>
            <w:r w:rsidRPr="007A52AF">
              <w:rPr>
                <w:rFonts w:ascii="Times New Roman" w:hAnsi="Times New Roman"/>
                <w:sz w:val="22"/>
                <w:szCs w:val="22"/>
                <w:vertAlign w:val="superscript"/>
              </w:rPr>
              <w:fldChar w:fldCharType="begin"/>
            </w:r>
            <w:r w:rsidRPr="007A52AF">
              <w:rPr>
                <w:rFonts w:ascii="Times New Roman" w:hAnsi="Times New Roman"/>
                <w:sz w:val="22"/>
                <w:szCs w:val="22"/>
                <w:vertAlign w:val="superscript"/>
              </w:rPr>
              <w:instrText xml:space="preserve"> NOTEREF _Ref114144301 \h </w:instrText>
            </w:r>
            <w:r>
              <w:rPr>
                <w:rFonts w:ascii="Times New Roman" w:hAnsi="Times New Roman"/>
                <w:sz w:val="22"/>
                <w:szCs w:val="22"/>
                <w:vertAlign w:val="superscript"/>
              </w:rPr>
              <w:instrText xml:space="preserve"> \* MERGEFORMAT </w:instrText>
            </w:r>
            <w:r w:rsidRPr="007A52AF">
              <w:rPr>
                <w:rFonts w:ascii="Times New Roman" w:hAnsi="Times New Roman"/>
                <w:sz w:val="22"/>
                <w:szCs w:val="22"/>
                <w:vertAlign w:val="superscript"/>
              </w:rPr>
            </w:r>
            <w:r w:rsidRPr="007A52AF">
              <w:rPr>
                <w:rFonts w:ascii="Times New Roman" w:hAnsi="Times New Roman"/>
                <w:sz w:val="22"/>
                <w:szCs w:val="22"/>
                <w:vertAlign w:val="superscript"/>
              </w:rPr>
              <w:fldChar w:fldCharType="separate"/>
            </w:r>
            <w:r w:rsidR="00F62F8E">
              <w:rPr>
                <w:rFonts w:ascii="Times New Roman" w:hAnsi="Times New Roman"/>
                <w:sz w:val="22"/>
                <w:szCs w:val="22"/>
                <w:vertAlign w:val="superscript"/>
              </w:rPr>
              <w:t>8</w:t>
            </w:r>
            <w:r w:rsidRPr="007A52AF">
              <w:rPr>
                <w:rFonts w:ascii="Times New Roman" w:hAnsi="Times New Roman"/>
                <w:sz w:val="22"/>
                <w:szCs w:val="22"/>
                <w:vertAlign w:val="superscript"/>
              </w:rPr>
              <w:fldChar w:fldCharType="end"/>
            </w:r>
            <w:r>
              <w:rPr>
                <w:rFonts w:ascii="Times New Roman" w:hAnsi="Times New Roman"/>
                <w:sz w:val="22"/>
                <w:szCs w:val="22"/>
              </w:rPr>
              <w:t> ;</w:t>
            </w:r>
          </w:p>
          <w:p w14:paraId="7828945E" w14:textId="7E34BDC6" w:rsidR="00FA14D5" w:rsidRPr="00FA14D5" w:rsidRDefault="00E36548" w:rsidP="00FA14D5">
            <w:pPr>
              <w:pStyle w:val="Default"/>
              <w:widowControl w:val="0"/>
              <w:numPr>
                <w:ilvl w:val="0"/>
                <w:numId w:val="11"/>
              </w:numPr>
              <w:spacing w:before="0" w:beforeAutospacing="0" w:after="120" w:afterAutospacing="0"/>
              <w:ind w:left="357" w:hanging="357"/>
              <w:rPr>
                <w:rFonts w:ascii="Times New Roman" w:hAnsi="Times New Roman" w:cs="Times New Roman"/>
              </w:rPr>
            </w:pPr>
            <w:proofErr w:type="gramStart"/>
            <w:r w:rsidRPr="00E55BE9">
              <w:rPr>
                <w:rFonts w:ascii="Times New Roman" w:hAnsi="Times New Roman"/>
                <w:sz w:val="22"/>
                <w:szCs w:val="22"/>
              </w:rPr>
              <w:t>la</w:t>
            </w:r>
            <w:proofErr w:type="gramEnd"/>
            <w:r w:rsidRPr="00E55BE9">
              <w:rPr>
                <w:rFonts w:ascii="Times New Roman" w:hAnsi="Times New Roman"/>
                <w:sz w:val="22"/>
                <w:szCs w:val="22"/>
              </w:rPr>
              <w:t xml:space="preserve"> conformité des produits et services aux réglementations applicables.</w:t>
            </w:r>
          </w:p>
          <w:p w14:paraId="22312EA2" w14:textId="77777777" w:rsidR="00FA14D5" w:rsidRPr="00FA14D5" w:rsidRDefault="00FA14D5" w:rsidP="00FA14D5">
            <w:pPr>
              <w:pStyle w:val="TexteGrasItalic"/>
              <w:spacing w:after="120" w:line="240" w:lineRule="auto"/>
              <w:ind w:right="1168"/>
              <w:jc w:val="both"/>
              <w:rPr>
                <w:rFonts w:ascii="Times New Roman" w:hAnsi="Times New Roman"/>
                <w:i w:val="0"/>
                <w:color w:val="000000" w:themeColor="text1"/>
                <w:sz w:val="2"/>
                <w:szCs w:val="2"/>
                <w:lang w:val="fr-FR"/>
              </w:rPr>
            </w:pPr>
          </w:p>
          <w:p w14:paraId="72CC236B" w14:textId="77777777" w:rsidR="00FA14D5" w:rsidRDefault="00FA14D5" w:rsidP="00FA14D5">
            <w:pPr>
              <w:pStyle w:val="TexteGrasItalic"/>
              <w:spacing w:after="120" w:line="240" w:lineRule="auto"/>
              <w:ind w:right="1168"/>
              <w:jc w:val="both"/>
              <w:rPr>
                <w:rFonts w:ascii="Times New Roman" w:hAnsi="Times New Roman"/>
                <w:i w:val="0"/>
                <w:color w:val="000000" w:themeColor="text1"/>
                <w:sz w:val="2"/>
                <w:szCs w:val="2"/>
                <w:lang w:val="fr-FR"/>
              </w:rPr>
            </w:pPr>
          </w:p>
          <w:p w14:paraId="3F2E75E2" w14:textId="77777777" w:rsidR="00FA14D5" w:rsidRPr="00FA14D5" w:rsidRDefault="00FA14D5" w:rsidP="00FA14D5">
            <w:pPr>
              <w:pStyle w:val="Texte"/>
            </w:pPr>
          </w:p>
          <w:p w14:paraId="573C9447" w14:textId="53D6CEE6" w:rsidR="00E36548" w:rsidRPr="0028574F" w:rsidRDefault="00E36548" w:rsidP="00FA14D5">
            <w:pPr>
              <w:pStyle w:val="TexteGrasItalic"/>
              <w:spacing w:after="120" w:line="240" w:lineRule="auto"/>
              <w:ind w:right="1168"/>
              <w:jc w:val="both"/>
              <w:rPr>
                <w:rFonts w:ascii="Times New Roman" w:hAnsi="Times New Roman"/>
                <w:i w:val="0"/>
                <w:color w:val="000000" w:themeColor="text1"/>
                <w:sz w:val="22"/>
                <w:szCs w:val="22"/>
                <w:lang w:val="fr-FR"/>
              </w:rPr>
            </w:pPr>
            <w:r w:rsidRPr="0028574F">
              <w:rPr>
                <w:rFonts w:ascii="Times New Roman" w:hAnsi="Times New Roman"/>
                <w:i w:val="0"/>
                <w:color w:val="000000" w:themeColor="text1"/>
                <w:sz w:val="22"/>
                <w:szCs w:val="22"/>
                <w:lang w:val="fr-FR"/>
              </w:rPr>
              <w:lastRenderedPageBreak/>
              <w:t>Dispositions réglementaires et doctrine professionnelle applicable</w:t>
            </w:r>
          </w:p>
          <w:p w14:paraId="4A114527" w14:textId="77777777" w:rsidR="00E36548" w:rsidRPr="009C3BCB" w:rsidRDefault="00E36548" w:rsidP="00B45B7D">
            <w:pPr>
              <w:spacing w:before="0" w:beforeAutospacing="0" w:after="0" w:afterAutospacing="0"/>
              <w:ind w:right="1308"/>
              <w:rPr>
                <w:sz w:val="24"/>
              </w:rPr>
            </w:pPr>
            <w:r w:rsidRPr="00CF4565">
              <w:t>Nos travaux décrits ci-après ont été effectués conformément aux dispositions des articles A. 225</w:t>
            </w:r>
            <w:r w:rsidRPr="00CF4565">
              <w:noBreakHyphen/>
              <w:t>1 et suivants du code de commerce, [et]</w:t>
            </w:r>
            <w:r w:rsidRPr="00CF4565">
              <w:rPr>
                <w:rStyle w:val="Appelnotedebasdep"/>
              </w:rPr>
              <w:footnoteReference w:id="11"/>
            </w:r>
            <w:r w:rsidRPr="00CF4565">
              <w:t xml:space="preserve"> à la doctrine professionnelle de la Compagnie nationale des </w:t>
            </w:r>
            <w:r w:rsidRPr="00CF4565">
              <w:rPr>
                <w:color w:val="000000" w:themeColor="text1"/>
              </w:rPr>
              <w:t>commissaires aux comptes relative à cette intervention</w:t>
            </w:r>
            <w:bookmarkStart w:id="4" w:name="_Hlk114148242"/>
            <w:r>
              <w:rPr>
                <w:color w:val="000000" w:themeColor="text1"/>
              </w:rPr>
              <w:t xml:space="preserve">, notamment l’avis technique de la Compagnie nationale des commissaires aux comptes, </w:t>
            </w:r>
            <w:r w:rsidRPr="009B3440">
              <w:rPr>
                <w:i/>
                <w:iCs/>
                <w:color w:val="000000" w:themeColor="text1"/>
              </w:rPr>
              <w:t>Intervention du commissaire aux comptes - Intervention de l’OTI - Déclaration de performance extra-financière</w:t>
            </w:r>
            <w:r>
              <w:rPr>
                <w:color w:val="000000" w:themeColor="text1"/>
              </w:rPr>
              <w:t>,</w:t>
            </w:r>
            <w:bookmarkEnd w:id="4"/>
            <w:r w:rsidRPr="007104D5" w:rsidDel="00C26542">
              <w:rPr>
                <w:color w:val="000000" w:themeColor="text1"/>
              </w:rPr>
              <w:t xml:space="preserve"> </w:t>
            </w:r>
            <w:r w:rsidRPr="00CF4565">
              <w:rPr>
                <w:color w:val="000000" w:themeColor="text1"/>
              </w:rPr>
              <w:t>tenant lieu de programme de vérification [et à la norme internationale ISAE 3000 (révisée)</w:t>
            </w:r>
            <w:r w:rsidRPr="00CF4565">
              <w:rPr>
                <w:rStyle w:val="Appelnotedebasdep"/>
                <w:color w:val="000000" w:themeColor="text1"/>
              </w:rPr>
              <w:footnoteReference w:id="12"/>
            </w:r>
            <w:r w:rsidRPr="00CF4565">
              <w:rPr>
                <w:color w:val="000000" w:themeColor="text1"/>
              </w:rPr>
              <w:t>]</w:t>
            </w:r>
            <w:r w:rsidRPr="00CF4565">
              <w:rPr>
                <w:rStyle w:val="Appelnotedebasdep"/>
                <w:color w:val="000000" w:themeColor="text1"/>
              </w:rPr>
              <w:footnoteReference w:id="13"/>
            </w:r>
            <w:r w:rsidRPr="00CF4565">
              <w:rPr>
                <w:color w:val="000000" w:themeColor="text1"/>
              </w:rPr>
              <w:t>.</w:t>
            </w:r>
          </w:p>
        </w:tc>
      </w:tr>
      <w:tr w:rsidR="00E36548" w:rsidRPr="004D7D19" w14:paraId="769A9C4C" w14:textId="77777777" w:rsidTr="00B45B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2"/>
            <w:tcBorders>
              <w:top w:val="nil"/>
              <w:left w:val="nil"/>
              <w:bottom w:val="nil"/>
              <w:right w:val="nil"/>
            </w:tcBorders>
          </w:tcPr>
          <w:p w14:paraId="1BA11FEF" w14:textId="77777777" w:rsidR="00E36548" w:rsidRPr="00333C51" w:rsidRDefault="00E36548" w:rsidP="00B45B7D">
            <w:pPr>
              <w:pStyle w:val="TexteGrasItalic"/>
              <w:spacing w:before="120" w:after="0" w:line="240" w:lineRule="auto"/>
              <w:jc w:val="both"/>
              <w:rPr>
                <w:rFonts w:ascii="Times New Roman" w:hAnsi="Times New Roman"/>
                <w:i w:val="0"/>
                <w:sz w:val="22"/>
                <w:szCs w:val="22"/>
                <w:lang w:val="fr-FR"/>
              </w:rPr>
            </w:pPr>
            <w:r w:rsidRPr="00333C51">
              <w:rPr>
                <w:rFonts w:ascii="Times New Roman" w:hAnsi="Times New Roman"/>
                <w:i w:val="0"/>
                <w:sz w:val="22"/>
                <w:szCs w:val="22"/>
                <w:lang w:val="fr-FR"/>
              </w:rPr>
              <w:lastRenderedPageBreak/>
              <w:t xml:space="preserve">Indépendance et contrôle qualité </w:t>
            </w:r>
          </w:p>
          <w:p w14:paraId="0F52CD4C" w14:textId="77777777" w:rsidR="00E36548" w:rsidRPr="00C673F9" w:rsidRDefault="00E36548" w:rsidP="00B45B7D">
            <w:pPr>
              <w:spacing w:before="120" w:beforeAutospacing="0" w:after="120" w:afterAutospacing="0"/>
              <w:ind w:right="1165"/>
              <w:rPr>
                <w:szCs w:val="22"/>
              </w:rPr>
            </w:pPr>
            <w:r w:rsidRPr="004F29CC">
              <w:rPr>
                <w:szCs w:val="22"/>
              </w:rPr>
              <w:t>Notre indépendance est définie par les dispositions prévues à l’article L. 822-11 du code de commerce et le code de déontologie de la profession</w:t>
            </w:r>
            <w:r>
              <w:rPr>
                <w:szCs w:val="22"/>
              </w:rPr>
              <w:t xml:space="preserve"> de commissaire aux comptes</w:t>
            </w:r>
            <w:r w:rsidRPr="004F29CC">
              <w:rPr>
                <w:szCs w:val="22"/>
              </w:rPr>
              <w:t>. Par ailleurs, nous avons mis en place un système de contrôle qualité qui comprend des politiques et des procédures documentées visant à assurer le respect des textes légaux et réglementaires applicables</w:t>
            </w:r>
            <w:r>
              <w:rPr>
                <w:szCs w:val="22"/>
              </w:rPr>
              <w:t>,</w:t>
            </w:r>
            <w:r w:rsidRPr="004F29CC">
              <w:rPr>
                <w:szCs w:val="22"/>
              </w:rPr>
              <w:t xml:space="preserve"> des règles déontologiques</w:t>
            </w:r>
            <w:r>
              <w:rPr>
                <w:szCs w:val="22"/>
              </w:rPr>
              <w:t xml:space="preserve"> et</w:t>
            </w:r>
            <w:r w:rsidRPr="004F29CC">
              <w:rPr>
                <w:szCs w:val="22"/>
              </w:rPr>
              <w:t xml:space="preserve"> de la doctrine professionnelle</w:t>
            </w:r>
            <w:r>
              <w:rPr>
                <w:szCs w:val="22"/>
              </w:rPr>
              <w:t xml:space="preserve"> de la Compagnie nationale des commissaires aux comptes relative à cette intervention</w:t>
            </w:r>
            <w:r w:rsidRPr="004F29CC">
              <w:rPr>
                <w:szCs w:val="22"/>
              </w:rPr>
              <w:t>.</w:t>
            </w:r>
          </w:p>
        </w:tc>
      </w:tr>
      <w:tr w:rsidR="00E36548" w:rsidRPr="000D3048" w14:paraId="1A03A59D" w14:textId="77777777" w:rsidTr="00B45B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2"/>
            <w:tcBorders>
              <w:top w:val="nil"/>
              <w:left w:val="nil"/>
              <w:bottom w:val="nil"/>
              <w:right w:val="nil"/>
            </w:tcBorders>
          </w:tcPr>
          <w:p w14:paraId="246AF896" w14:textId="77777777" w:rsidR="00E36548" w:rsidRPr="00646FC2" w:rsidRDefault="00E36548" w:rsidP="00B45B7D">
            <w:pPr>
              <w:pStyle w:val="Commentaire"/>
              <w:spacing w:before="120" w:beforeAutospacing="0" w:after="0" w:afterAutospacing="0"/>
              <w:rPr>
                <w:b/>
                <w:bCs/>
                <w:sz w:val="22"/>
                <w:szCs w:val="22"/>
              </w:rPr>
            </w:pPr>
            <w:r w:rsidRPr="00646FC2">
              <w:rPr>
                <w:b/>
                <w:bCs/>
                <w:sz w:val="22"/>
                <w:szCs w:val="22"/>
              </w:rPr>
              <w:t>Moyens et ressources</w:t>
            </w:r>
          </w:p>
          <w:p w14:paraId="36CF5867" w14:textId="77777777" w:rsidR="00E36548" w:rsidRPr="00646FC2" w:rsidRDefault="00E36548" w:rsidP="00B45B7D">
            <w:pPr>
              <w:pStyle w:val="Commentaire"/>
              <w:spacing w:before="120" w:beforeAutospacing="0" w:after="0" w:afterAutospacing="0"/>
              <w:ind w:right="1165"/>
              <w:rPr>
                <w:sz w:val="22"/>
                <w:szCs w:val="22"/>
              </w:rPr>
            </w:pPr>
            <w:r w:rsidRPr="00646FC2">
              <w:rPr>
                <w:sz w:val="22"/>
                <w:szCs w:val="22"/>
              </w:rPr>
              <w:t>Nos travaux ont mobilisé les compétences de X personnes</w:t>
            </w:r>
            <w:r w:rsidRPr="00646FC2">
              <w:rPr>
                <w:rStyle w:val="Appelnotedebasdep"/>
                <w:sz w:val="22"/>
                <w:szCs w:val="22"/>
              </w:rPr>
              <w:footnoteReference w:id="14"/>
            </w:r>
            <w:r w:rsidRPr="00646FC2">
              <w:rPr>
                <w:sz w:val="22"/>
                <w:szCs w:val="22"/>
              </w:rPr>
              <w:t xml:space="preserve"> et se sont déroulés entre X et Y (</w:t>
            </w:r>
            <w:r w:rsidRPr="00646FC2">
              <w:rPr>
                <w:i/>
                <w:sz w:val="22"/>
                <w:szCs w:val="22"/>
              </w:rPr>
              <w:t>par exemple</w:t>
            </w:r>
            <w:r w:rsidRPr="00646FC2">
              <w:rPr>
                <w:sz w:val="22"/>
                <w:szCs w:val="22"/>
              </w:rPr>
              <w:t xml:space="preserve"> octobre N et avril N+1) sur une durée totale d’intervention de X semaines</w:t>
            </w:r>
            <w:r w:rsidRPr="00646FC2">
              <w:rPr>
                <w:rStyle w:val="Appelnotedebasdep"/>
                <w:sz w:val="22"/>
                <w:szCs w:val="22"/>
              </w:rPr>
              <w:footnoteReference w:id="15"/>
            </w:r>
            <w:r w:rsidRPr="00646FC2">
              <w:rPr>
                <w:i/>
                <w:sz w:val="22"/>
                <w:szCs w:val="22"/>
              </w:rPr>
              <w:t>.</w:t>
            </w:r>
          </w:p>
          <w:p w14:paraId="4B7F2CF3" w14:textId="77777777" w:rsidR="00E36548" w:rsidRPr="00646FC2" w:rsidRDefault="00E36548" w:rsidP="00B45B7D">
            <w:pPr>
              <w:pStyle w:val="TitreI"/>
              <w:keepLines w:val="0"/>
              <w:spacing w:before="120" w:after="120" w:line="240" w:lineRule="auto"/>
              <w:ind w:left="0" w:right="1165" w:firstLine="0"/>
              <w:jc w:val="both"/>
              <w:rPr>
                <w:rFonts w:ascii="Times New Roman" w:hAnsi="Times New Roman"/>
                <w:b w:val="0"/>
                <w:sz w:val="22"/>
                <w:szCs w:val="22"/>
              </w:rPr>
            </w:pPr>
            <w:r w:rsidRPr="00646FC2">
              <w:rPr>
                <w:rFonts w:ascii="Times New Roman" w:hAnsi="Times New Roman"/>
                <w:b w:val="0"/>
                <w:sz w:val="22"/>
                <w:szCs w:val="22"/>
              </w:rPr>
              <w:t xml:space="preserve">Nous avons fait appel, pour nous assister dans la réalisation de nos travaux, à nos spécialistes en matière de développement durable et de responsabilité sociétale. Nous avons mené [XX / une </w:t>
            </w:r>
            <w:proofErr w:type="spellStart"/>
            <w:r w:rsidRPr="00646FC2">
              <w:rPr>
                <w:rFonts w:ascii="Times New Roman" w:hAnsi="Times New Roman"/>
                <w:b w:val="0"/>
                <w:sz w:val="22"/>
                <w:szCs w:val="22"/>
              </w:rPr>
              <w:t>Xaine</w:t>
            </w:r>
            <w:proofErr w:type="spellEnd"/>
            <w:r w:rsidRPr="00646FC2">
              <w:rPr>
                <w:rFonts w:ascii="Times New Roman" w:hAnsi="Times New Roman"/>
                <w:b w:val="0"/>
                <w:sz w:val="22"/>
                <w:szCs w:val="22"/>
              </w:rPr>
              <w:t xml:space="preserve"> d’] entretiens avec [ZZ / les] personnes responsables de la préparation de la Déclaration [, représentant notamment les directions générale, administration et finances, gestion des risques, conformité, ressources humaines, santé et sécurité, environnement et achats]</w:t>
            </w:r>
            <w:r w:rsidRPr="00646FC2">
              <w:rPr>
                <w:rStyle w:val="Appelnotedebasdep"/>
                <w:rFonts w:ascii="Times New Roman" w:hAnsi="Times New Roman"/>
                <w:b w:val="0"/>
                <w:sz w:val="22"/>
                <w:szCs w:val="22"/>
              </w:rPr>
              <w:footnoteReference w:id="16"/>
            </w:r>
            <w:r w:rsidRPr="00646FC2">
              <w:rPr>
                <w:rFonts w:ascii="Times New Roman" w:hAnsi="Times New Roman"/>
                <w:b w:val="0"/>
                <w:sz w:val="22"/>
                <w:szCs w:val="22"/>
              </w:rPr>
              <w:t>.</w:t>
            </w:r>
          </w:p>
          <w:p w14:paraId="68EC55B2" w14:textId="77777777" w:rsidR="00E36548" w:rsidRPr="00646FC2" w:rsidRDefault="00E36548" w:rsidP="00B45B7D">
            <w:pPr>
              <w:pStyle w:val="TexteGrasItalic"/>
              <w:spacing w:before="240" w:after="120" w:line="240" w:lineRule="auto"/>
              <w:jc w:val="both"/>
              <w:rPr>
                <w:rFonts w:ascii="Times New Roman" w:hAnsi="Times New Roman"/>
                <w:i w:val="0"/>
                <w:sz w:val="22"/>
                <w:szCs w:val="22"/>
                <w:lang w:val="fr-FR"/>
              </w:rPr>
            </w:pPr>
            <w:r w:rsidRPr="00646FC2">
              <w:rPr>
                <w:rFonts w:ascii="Times New Roman" w:hAnsi="Times New Roman"/>
                <w:i w:val="0"/>
                <w:sz w:val="22"/>
                <w:szCs w:val="22"/>
                <w:lang w:val="fr-FR"/>
              </w:rPr>
              <w:t xml:space="preserve">Nature et étendue des travaux </w:t>
            </w:r>
          </w:p>
          <w:p w14:paraId="4DA06B53" w14:textId="77777777" w:rsidR="00E36548" w:rsidRPr="00646FC2" w:rsidRDefault="00E36548" w:rsidP="00B45B7D">
            <w:pPr>
              <w:overflowPunct w:val="0"/>
              <w:autoSpaceDE w:val="0"/>
              <w:autoSpaceDN w:val="0"/>
              <w:adjustRightInd w:val="0"/>
              <w:spacing w:before="120" w:beforeAutospacing="0" w:after="0" w:afterAutospacing="0"/>
              <w:ind w:right="1165"/>
              <w:textAlignment w:val="baseline"/>
              <w:rPr>
                <w:color w:val="000000" w:themeColor="text1"/>
              </w:rPr>
            </w:pPr>
            <w:r w:rsidRPr="00646FC2">
              <w:rPr>
                <w:color w:val="000000" w:themeColor="text1"/>
              </w:rPr>
              <w:t xml:space="preserve">Nous avons planifié et effectué nos travaux en prenant en compte le risque d’anomalies significatives sur les Informations.  </w:t>
            </w:r>
          </w:p>
          <w:p w14:paraId="1E422AF1" w14:textId="77777777" w:rsidR="00E36548" w:rsidRPr="00646FC2" w:rsidRDefault="00E36548" w:rsidP="00B45B7D">
            <w:pPr>
              <w:overflowPunct w:val="0"/>
              <w:autoSpaceDE w:val="0"/>
              <w:autoSpaceDN w:val="0"/>
              <w:adjustRightInd w:val="0"/>
              <w:spacing w:before="120" w:beforeAutospacing="0" w:after="0" w:afterAutospacing="0"/>
              <w:ind w:right="1165"/>
              <w:textAlignment w:val="baseline"/>
              <w:rPr>
                <w:color w:val="4472C4" w:themeColor="accent1"/>
              </w:rPr>
            </w:pPr>
            <w:r w:rsidRPr="00646FC2">
              <w:rPr>
                <w:color w:val="000000" w:themeColor="text1"/>
              </w:rPr>
              <w:t xml:space="preserve">Nous estimons que les procédures que nous avons menées en exerçant notre jugement </w:t>
            </w:r>
            <w:r w:rsidRPr="00646FC2">
              <w:t>professionnel nous permettent de formuler une conclusion d’assurance modérée :</w:t>
            </w:r>
          </w:p>
          <w:p w14:paraId="6B762695" w14:textId="77777777" w:rsidR="00E36548" w:rsidRPr="00646FC2" w:rsidRDefault="00E36548" w:rsidP="00E36548">
            <w:pPr>
              <w:numPr>
                <w:ilvl w:val="0"/>
                <w:numId w:val="5"/>
              </w:numPr>
              <w:overflowPunct w:val="0"/>
              <w:autoSpaceDE w:val="0"/>
              <w:autoSpaceDN w:val="0"/>
              <w:adjustRightInd w:val="0"/>
              <w:spacing w:before="40" w:beforeAutospacing="0" w:after="0" w:afterAutospacing="0"/>
              <w:ind w:right="1165"/>
              <w:textAlignment w:val="baseline"/>
              <w:rPr>
                <w:kern w:val="12"/>
                <w:szCs w:val="22"/>
              </w:rPr>
            </w:pPr>
            <w:proofErr w:type="gramStart"/>
            <w:r w:rsidRPr="00646FC2">
              <w:rPr>
                <w:szCs w:val="22"/>
              </w:rPr>
              <w:t>nous</w:t>
            </w:r>
            <w:proofErr w:type="gramEnd"/>
            <w:r w:rsidRPr="00646FC2">
              <w:rPr>
                <w:szCs w:val="22"/>
              </w:rPr>
              <w:t xml:space="preserve"> avons pris connaissance de </w:t>
            </w:r>
            <w:r w:rsidRPr="00646FC2">
              <w:rPr>
                <w:kern w:val="12"/>
                <w:szCs w:val="22"/>
              </w:rPr>
              <w:t>l’activité de l’entité [</w:t>
            </w:r>
            <w:r w:rsidRPr="00646FC2">
              <w:rPr>
                <w:i/>
                <w:kern w:val="12"/>
                <w:szCs w:val="22"/>
              </w:rPr>
              <w:t>Ou si l’entité établit des comptes consolidés </w:t>
            </w:r>
            <w:r w:rsidRPr="00646FC2">
              <w:rPr>
                <w:kern w:val="12"/>
                <w:szCs w:val="22"/>
              </w:rPr>
              <w:t>: de l’ensemble des entités incluses dans le périmètre de consolidation] et de l’exposé des principaux risques</w:t>
            </w:r>
            <w:r>
              <w:rPr>
                <w:kern w:val="12"/>
                <w:szCs w:val="22"/>
              </w:rPr>
              <w:t xml:space="preserve"> </w:t>
            </w:r>
            <w:r w:rsidRPr="00646FC2">
              <w:rPr>
                <w:kern w:val="12"/>
                <w:szCs w:val="22"/>
              </w:rPr>
              <w:t xml:space="preserve">; </w:t>
            </w:r>
          </w:p>
          <w:p w14:paraId="2EB30376" w14:textId="77777777" w:rsidR="00E36548" w:rsidRPr="00646FC2" w:rsidRDefault="00E36548" w:rsidP="00E36548">
            <w:pPr>
              <w:pStyle w:val="Bullet"/>
              <w:numPr>
                <w:ilvl w:val="0"/>
                <w:numId w:val="5"/>
              </w:numPr>
              <w:spacing w:before="40" w:after="0" w:line="240" w:lineRule="auto"/>
              <w:ind w:right="1165"/>
              <w:jc w:val="both"/>
              <w:rPr>
                <w:rFonts w:ascii="Times New Roman" w:hAnsi="Times New Roman"/>
                <w:sz w:val="22"/>
                <w:szCs w:val="22"/>
              </w:rPr>
            </w:pPr>
            <w:proofErr w:type="gramStart"/>
            <w:r w:rsidRPr="00646FC2">
              <w:rPr>
                <w:rFonts w:ascii="Times New Roman" w:hAnsi="Times New Roman"/>
                <w:sz w:val="22"/>
                <w:szCs w:val="22"/>
              </w:rPr>
              <w:t>nous</w:t>
            </w:r>
            <w:proofErr w:type="gramEnd"/>
            <w:r w:rsidRPr="00646FC2">
              <w:rPr>
                <w:rFonts w:ascii="Times New Roman" w:hAnsi="Times New Roman"/>
                <w:sz w:val="22"/>
                <w:szCs w:val="22"/>
              </w:rPr>
              <w:t xml:space="preserve"> avons apprécié le caractère approprié du Référentiel au regard de sa pertinence, son exhaustivité, sa fiabilité, sa neutralité et son caractère compréhensible, en prenant en considération, le cas échéant, les bonnes pratiques du secteur ; </w:t>
            </w:r>
          </w:p>
          <w:p w14:paraId="4D2E6203" w14:textId="5D3BB1EE" w:rsidR="00CC26FF" w:rsidRPr="00CC26FF" w:rsidRDefault="00E36548" w:rsidP="00CC26FF">
            <w:pPr>
              <w:numPr>
                <w:ilvl w:val="0"/>
                <w:numId w:val="5"/>
              </w:numPr>
              <w:overflowPunct w:val="0"/>
              <w:autoSpaceDE w:val="0"/>
              <w:autoSpaceDN w:val="0"/>
              <w:adjustRightInd w:val="0"/>
              <w:spacing w:before="40" w:beforeAutospacing="0" w:after="0" w:afterAutospacing="0"/>
              <w:ind w:right="1165"/>
              <w:textAlignment w:val="baseline"/>
            </w:pPr>
            <w:r w:rsidRPr="00646FC2">
              <w:t>nous avons vérifié que la Déclaration couvre chaque catégorie d’information prévue au III de l’article</w:t>
            </w:r>
            <w:r w:rsidR="00F62F8E">
              <w:br/>
            </w:r>
            <w:r w:rsidRPr="00646FC2">
              <w:t>L. 225-102-1 du code de commerce en matière sociale et environnementale [</w:t>
            </w:r>
            <w:r w:rsidRPr="00646FC2">
              <w:rPr>
                <w:i/>
                <w:iCs/>
              </w:rPr>
              <w:t xml:space="preserve">Pour les entités dont les titres sont admis aux négociations sur un marché réglementé et entités spécifiquement soumises aux dispositions de l’article L. 225-102-1 du code de commerce dans les conditions prévues pour les sociétés mentionnées à l’article L. 22-10-36 du code de commerce </w:t>
            </w:r>
            <w:r w:rsidRPr="00646FC2">
              <w:t>: ainsi que de respect des droits de l’homme et de lutte contre la corruption et l’évasion fiscale] </w:t>
            </w:r>
            <w:r w:rsidRPr="00646FC2">
              <w:rPr>
                <w:color w:val="000000" w:themeColor="text1"/>
              </w:rPr>
              <w:t>et</w:t>
            </w:r>
            <w:r w:rsidRPr="00646FC2">
              <w:rPr>
                <w:i/>
                <w:iCs/>
              </w:rPr>
              <w:t xml:space="preserve"> </w:t>
            </w:r>
            <w:r w:rsidRPr="00646FC2">
              <w:t>comprend, le cas échéant,</w:t>
            </w:r>
            <w:r w:rsidRPr="00646FC2">
              <w:rPr>
                <w:color w:val="FF0000"/>
              </w:rPr>
              <w:t xml:space="preserve"> </w:t>
            </w:r>
            <w:r w:rsidRPr="00646FC2">
              <w:t>une explication des raisons justifiant l’absence des informations requises par le 2</w:t>
            </w:r>
            <w:r w:rsidRPr="009B2571">
              <w:rPr>
                <w:vertAlign w:val="superscript"/>
              </w:rPr>
              <w:t>ème</w:t>
            </w:r>
            <w:r w:rsidRPr="00646FC2">
              <w:t xml:space="preserve"> alinéa du III de l’article L. 225-102-1 du code de commerce</w:t>
            </w:r>
            <w:r>
              <w:t xml:space="preserve"> </w:t>
            </w:r>
            <w:r w:rsidRPr="00646FC2">
              <w:t>;</w:t>
            </w:r>
          </w:p>
          <w:p w14:paraId="0DEEB788" w14:textId="0B8901E4" w:rsidR="00E36548" w:rsidRPr="00646FC2" w:rsidRDefault="00E36548" w:rsidP="00E36548">
            <w:pPr>
              <w:pStyle w:val="Paragraphedeliste"/>
              <w:numPr>
                <w:ilvl w:val="0"/>
                <w:numId w:val="5"/>
              </w:numPr>
              <w:spacing w:before="40" w:beforeAutospacing="0" w:after="0" w:afterAutospacing="0"/>
              <w:ind w:right="1165"/>
              <w:contextualSpacing w:val="0"/>
              <w:rPr>
                <w:szCs w:val="22"/>
              </w:rPr>
            </w:pPr>
            <w:proofErr w:type="gramStart"/>
            <w:r w:rsidRPr="00646FC2">
              <w:rPr>
                <w:szCs w:val="22"/>
              </w:rPr>
              <w:t>nous</w:t>
            </w:r>
            <w:proofErr w:type="gramEnd"/>
            <w:r w:rsidRPr="00646FC2">
              <w:rPr>
                <w:szCs w:val="22"/>
              </w:rPr>
              <w:t xml:space="preserve"> avons vérifié que la Déclaration </w:t>
            </w:r>
            <w:r w:rsidRPr="00646FC2">
              <w:rPr>
                <w:color w:val="000000" w:themeColor="text1"/>
              </w:rPr>
              <w:t xml:space="preserve">présente les informations prévues au II de l’article R. 225-105 du code de commerce lorsqu’elles sont pertinentes au regard des principaux risques </w:t>
            </w:r>
            <w:r w:rsidRPr="00646FC2">
              <w:rPr>
                <w:szCs w:val="22"/>
              </w:rPr>
              <w:t xml:space="preserve">; </w:t>
            </w:r>
          </w:p>
        </w:tc>
      </w:tr>
      <w:tr w:rsidR="00E36548" w:rsidRPr="00333C51" w14:paraId="76DDDB3A" w14:textId="77777777" w:rsidTr="00B45B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85" w:type="dxa"/>
            <w:gridSpan w:val="2"/>
            <w:tcBorders>
              <w:top w:val="nil"/>
              <w:left w:val="nil"/>
              <w:bottom w:val="nil"/>
              <w:right w:val="nil"/>
            </w:tcBorders>
          </w:tcPr>
          <w:p w14:paraId="18F53D46" w14:textId="77777777" w:rsidR="00E36548" w:rsidRPr="00646FC2" w:rsidRDefault="00E36548" w:rsidP="00E36548">
            <w:pPr>
              <w:numPr>
                <w:ilvl w:val="0"/>
                <w:numId w:val="5"/>
              </w:numPr>
              <w:overflowPunct w:val="0"/>
              <w:autoSpaceDE w:val="0"/>
              <w:autoSpaceDN w:val="0"/>
              <w:adjustRightInd w:val="0"/>
              <w:spacing w:before="40" w:beforeAutospacing="0" w:after="0" w:afterAutospacing="0"/>
              <w:ind w:right="1165"/>
              <w:textAlignment w:val="baseline"/>
              <w:rPr>
                <w:kern w:val="12"/>
                <w:szCs w:val="22"/>
              </w:rPr>
            </w:pPr>
            <w:r w:rsidRPr="00646FC2">
              <w:rPr>
                <w:kern w:val="12"/>
                <w:szCs w:val="22"/>
              </w:rPr>
              <w:t xml:space="preserve">nous avons vérifié que la Déclaration présente le modèle d’affaires et </w:t>
            </w:r>
            <w:r w:rsidRPr="00646FC2">
              <w:t xml:space="preserve">une description des </w:t>
            </w:r>
            <w:r w:rsidRPr="00646FC2">
              <w:rPr>
                <w:kern w:val="12"/>
                <w:szCs w:val="22"/>
              </w:rPr>
              <w:t>principaux risques liés à l’activité de l’entité [</w:t>
            </w:r>
            <w:r w:rsidRPr="00646FC2">
              <w:rPr>
                <w:i/>
                <w:kern w:val="12"/>
                <w:szCs w:val="22"/>
              </w:rPr>
              <w:t>Ou si l’entité établit des comptes consolidés </w:t>
            </w:r>
            <w:r w:rsidRPr="00646FC2">
              <w:rPr>
                <w:kern w:val="12"/>
                <w:szCs w:val="22"/>
              </w:rPr>
              <w:t xml:space="preserve">: de l’ensemble des entités incluses dans le périmètre de consolidation], y compris, lorsque cela s’avère pertinent et proportionné, les risques créés par </w:t>
            </w:r>
            <w:r w:rsidRPr="00646FC2">
              <w:rPr>
                <w:kern w:val="12"/>
                <w:szCs w:val="22"/>
              </w:rPr>
              <w:lastRenderedPageBreak/>
              <w:t xml:space="preserve">ses relations d’affaires, ses produits ou ses services ainsi que les politiques, les actions et les résultats, incluant des indicateurs clés de performance </w:t>
            </w:r>
            <w:r w:rsidRPr="00646FC2">
              <w:t>afférents aux principaux risques</w:t>
            </w:r>
            <w:r w:rsidRPr="00646FC2">
              <w:rPr>
                <w:kern w:val="12"/>
                <w:szCs w:val="22"/>
              </w:rPr>
              <w:t>  ;</w:t>
            </w:r>
          </w:p>
          <w:p w14:paraId="133C539D" w14:textId="1673E8E8" w:rsidR="00E36548" w:rsidRPr="00646FC2" w:rsidRDefault="00E36548" w:rsidP="00E36548">
            <w:pPr>
              <w:numPr>
                <w:ilvl w:val="0"/>
                <w:numId w:val="5"/>
              </w:numPr>
              <w:spacing w:before="40" w:beforeAutospacing="0" w:after="0" w:afterAutospacing="0"/>
              <w:ind w:right="1165"/>
              <w:rPr>
                <w:szCs w:val="22"/>
              </w:rPr>
            </w:pPr>
            <w:r w:rsidRPr="00646FC2">
              <w:rPr>
                <w:i/>
                <w:iCs/>
                <w:szCs w:val="22"/>
              </w:rPr>
              <w:t>Le cas échéant,</w:t>
            </w:r>
            <w:r w:rsidRPr="00646FC2">
              <w:rPr>
                <w:szCs w:val="22"/>
              </w:rPr>
              <w:t xml:space="preserve"> nous avons vérifié que la Déclaration comprend une explication claire et motivée des raisons justifiant l’absence de politique concernant un ou plusieurs de ces risques conformément au I de l’article</w:t>
            </w:r>
            <w:r w:rsidR="00F62F8E">
              <w:rPr>
                <w:szCs w:val="22"/>
              </w:rPr>
              <w:br/>
            </w:r>
            <w:r w:rsidRPr="00646FC2">
              <w:rPr>
                <w:szCs w:val="22"/>
              </w:rPr>
              <w:t>R. 225-105 du code de commerce ;</w:t>
            </w:r>
          </w:p>
          <w:p w14:paraId="0C6075D2" w14:textId="77777777" w:rsidR="00E36548" w:rsidRPr="00646FC2" w:rsidRDefault="00E36548" w:rsidP="00E36548">
            <w:pPr>
              <w:pStyle w:val="Paragraphedeliste"/>
              <w:widowControl w:val="0"/>
              <w:numPr>
                <w:ilvl w:val="0"/>
                <w:numId w:val="5"/>
              </w:numPr>
              <w:kinsoku w:val="0"/>
              <w:spacing w:before="80" w:beforeAutospacing="0" w:after="0" w:afterAutospacing="0"/>
              <w:ind w:right="1165"/>
              <w:rPr>
                <w:szCs w:val="22"/>
              </w:rPr>
            </w:pPr>
            <w:proofErr w:type="gramStart"/>
            <w:r w:rsidRPr="00646FC2">
              <w:rPr>
                <w:szCs w:val="22"/>
              </w:rPr>
              <w:t>nous</w:t>
            </w:r>
            <w:proofErr w:type="gramEnd"/>
            <w:r w:rsidRPr="00646FC2">
              <w:rPr>
                <w:szCs w:val="22"/>
              </w:rPr>
              <w:t xml:space="preserve"> avons </w:t>
            </w:r>
            <w:r w:rsidRPr="00646FC2">
              <w:rPr>
                <w:kern w:val="12"/>
                <w:szCs w:val="22"/>
              </w:rPr>
              <w:t>consulté les sources documentaires et mené des entretiens pour :</w:t>
            </w:r>
          </w:p>
          <w:p w14:paraId="6B94AD36" w14:textId="77777777" w:rsidR="00E36548" w:rsidRPr="00646FC2" w:rsidRDefault="00E36548" w:rsidP="00E36548">
            <w:pPr>
              <w:pStyle w:val="Paragraphedeliste"/>
              <w:widowControl w:val="0"/>
              <w:numPr>
                <w:ilvl w:val="1"/>
                <w:numId w:val="10"/>
              </w:numPr>
              <w:kinsoku w:val="0"/>
              <w:spacing w:before="80" w:beforeAutospacing="0" w:after="0" w:afterAutospacing="0"/>
              <w:ind w:left="567" w:right="1165" w:hanging="283"/>
              <w:rPr>
                <w:szCs w:val="22"/>
              </w:rPr>
            </w:pPr>
            <w:proofErr w:type="gramStart"/>
            <w:r w:rsidRPr="00646FC2">
              <w:rPr>
                <w:kern w:val="12"/>
                <w:szCs w:val="22"/>
              </w:rPr>
              <w:t>apprécier</w:t>
            </w:r>
            <w:proofErr w:type="gramEnd"/>
            <w:r w:rsidRPr="00646FC2">
              <w:rPr>
                <w:szCs w:val="22"/>
              </w:rPr>
              <w:t xml:space="preserve"> le processus de sélection et de validation des principaux risques</w:t>
            </w:r>
            <w:r w:rsidRPr="00646FC2">
              <w:t xml:space="preserve"> ainsi que la cohérence des résultats, incluant les indicateurs clés de performance </w:t>
            </w:r>
            <w:r w:rsidRPr="00646FC2">
              <w:rPr>
                <w:rFonts w:cstheme="minorHAnsi"/>
              </w:rPr>
              <w:t xml:space="preserve">retenus, au regard des principaux risques et politiques présentés, et </w:t>
            </w:r>
          </w:p>
          <w:p w14:paraId="41C5EC19" w14:textId="77777777" w:rsidR="00E36548" w:rsidRPr="00646FC2" w:rsidRDefault="00E36548" w:rsidP="00E36548">
            <w:pPr>
              <w:pStyle w:val="Paragraphedeliste"/>
              <w:widowControl w:val="0"/>
              <w:numPr>
                <w:ilvl w:val="1"/>
                <w:numId w:val="10"/>
              </w:numPr>
              <w:kinsoku w:val="0"/>
              <w:spacing w:before="80" w:beforeAutospacing="0" w:after="0" w:afterAutospacing="0"/>
              <w:ind w:left="567" w:right="1165" w:hanging="283"/>
              <w:rPr>
                <w:szCs w:val="22"/>
              </w:rPr>
            </w:pPr>
            <w:proofErr w:type="gramStart"/>
            <w:r w:rsidRPr="00646FC2">
              <w:t>corroborer</w:t>
            </w:r>
            <w:proofErr w:type="gramEnd"/>
            <w:r w:rsidRPr="00646FC2">
              <w:t xml:space="preserve"> les informations qualitatives (actions et résultats) que nous avons considéré</w:t>
            </w:r>
            <w:r w:rsidRPr="00646FC2">
              <w:rPr>
                <w:color w:val="FF0000"/>
              </w:rPr>
              <w:t xml:space="preserve"> </w:t>
            </w:r>
            <w:r w:rsidRPr="00646FC2">
              <w:t xml:space="preserve">les plus importantes présentées en Annexe 1. </w:t>
            </w:r>
            <w:r w:rsidRPr="00646FC2">
              <w:rPr>
                <w:szCs w:val="22"/>
              </w:rPr>
              <w:t xml:space="preserve">Pour certains risques </w:t>
            </w:r>
            <w:r w:rsidRPr="00646FC2">
              <w:rPr>
                <w:color w:val="000000" w:themeColor="text1"/>
              </w:rPr>
              <w:t>[</w:t>
            </w:r>
            <w:r w:rsidRPr="00646FC2">
              <w:rPr>
                <w:i/>
                <w:color w:val="000000" w:themeColor="text1"/>
              </w:rPr>
              <w:t>nommer lesquels :</w:t>
            </w:r>
            <w:r w:rsidRPr="00646FC2">
              <w:rPr>
                <w:color w:val="000000" w:themeColor="text1"/>
              </w:rPr>
              <w:t xml:space="preserve"> … (</w:t>
            </w:r>
            <w:r w:rsidRPr="00646FC2">
              <w:rPr>
                <w:i/>
                <w:color w:val="000000" w:themeColor="text1"/>
              </w:rPr>
              <w:t>exemple</w:t>
            </w:r>
            <w:r w:rsidRPr="00646FC2">
              <w:rPr>
                <w:color w:val="000000" w:themeColor="text1"/>
              </w:rPr>
              <w:t> : lutte contre la corruption, lutte contre l’évasion fiscale, protection des données personnelles, achats responsables, etc.)], nos travaux ont été réalisés au niveau de l’entité consolidante, pour les autres risques, des travaux ont été menés au niveau de l’entité consolidante et dans une sélection d’entités</w:t>
            </w:r>
            <w:bookmarkStart w:id="5" w:name="_Ref94274795"/>
            <w:r w:rsidRPr="00646FC2">
              <w:rPr>
                <w:rStyle w:val="Appelnotedebasdep"/>
                <w:color w:val="000000" w:themeColor="text1"/>
              </w:rPr>
              <w:footnoteReference w:id="17"/>
            </w:r>
            <w:bookmarkEnd w:id="5"/>
            <w:r w:rsidRPr="00646FC2">
              <w:rPr>
                <w:color w:val="000000" w:themeColor="text1"/>
              </w:rPr>
              <w:t xml:space="preserve"> </w:t>
            </w:r>
            <w:r w:rsidRPr="00646FC2">
              <w:rPr>
                <w:szCs w:val="22"/>
              </w:rPr>
              <w:t>;</w:t>
            </w:r>
          </w:p>
          <w:p w14:paraId="60FF621B" w14:textId="77BABFD4" w:rsidR="00E36548" w:rsidRPr="00646FC2" w:rsidRDefault="00E36548" w:rsidP="00E36548">
            <w:pPr>
              <w:numPr>
                <w:ilvl w:val="0"/>
                <w:numId w:val="5"/>
              </w:numPr>
              <w:overflowPunct w:val="0"/>
              <w:autoSpaceDE w:val="0"/>
              <w:autoSpaceDN w:val="0"/>
              <w:adjustRightInd w:val="0"/>
              <w:spacing w:before="40" w:beforeAutospacing="0" w:after="0" w:afterAutospacing="0"/>
              <w:ind w:right="1165"/>
              <w:textAlignment w:val="baseline"/>
              <w:rPr>
                <w:szCs w:val="22"/>
              </w:rPr>
            </w:pPr>
            <w:r w:rsidRPr="00646FC2">
              <w:rPr>
                <w:szCs w:val="22"/>
              </w:rPr>
              <w:t>[</w:t>
            </w:r>
            <w:r w:rsidRPr="00646FC2">
              <w:rPr>
                <w:i/>
                <w:szCs w:val="22"/>
              </w:rPr>
              <w:t>Le cas échéant</w:t>
            </w:r>
            <w:r w:rsidRPr="00646FC2">
              <w:rPr>
                <w:szCs w:val="22"/>
              </w:rPr>
              <w:t xml:space="preserve"> nous avons vérifié que la Déclaration couvre le périmètre consolidé, à savoir l’ensemble des entités incluses dans le périmètre de consolidation conformément à l’article L. 233-16</w:t>
            </w:r>
            <w:r>
              <w:rPr>
                <w:szCs w:val="22"/>
              </w:rPr>
              <w:t xml:space="preserve"> </w:t>
            </w:r>
            <w:r w:rsidRPr="00646FC2">
              <w:rPr>
                <w:szCs w:val="22"/>
              </w:rPr>
              <w:t>du code de commerce [</w:t>
            </w:r>
            <w:r w:rsidRPr="00646FC2">
              <w:rPr>
                <w:i/>
                <w:szCs w:val="22"/>
              </w:rPr>
              <w:t>le cas échéant</w:t>
            </w:r>
            <w:r w:rsidRPr="00646FC2">
              <w:rPr>
                <w:szCs w:val="22"/>
              </w:rPr>
              <w:t> : avec les limites précisées dans la Déclaration]] ;</w:t>
            </w:r>
          </w:p>
          <w:p w14:paraId="40639CA5" w14:textId="77777777" w:rsidR="00E36548" w:rsidRPr="00646FC2" w:rsidRDefault="00E36548" w:rsidP="00E36548">
            <w:pPr>
              <w:numPr>
                <w:ilvl w:val="0"/>
                <w:numId w:val="5"/>
              </w:numPr>
              <w:overflowPunct w:val="0"/>
              <w:autoSpaceDE w:val="0"/>
              <w:autoSpaceDN w:val="0"/>
              <w:adjustRightInd w:val="0"/>
              <w:spacing w:before="40" w:beforeAutospacing="0" w:after="0" w:afterAutospacing="0"/>
              <w:ind w:right="1165"/>
              <w:textAlignment w:val="baseline"/>
              <w:rPr>
                <w:szCs w:val="22"/>
              </w:rPr>
            </w:pPr>
            <w:proofErr w:type="gramStart"/>
            <w:r w:rsidRPr="00646FC2">
              <w:rPr>
                <w:szCs w:val="22"/>
              </w:rPr>
              <w:t>nous</w:t>
            </w:r>
            <w:proofErr w:type="gramEnd"/>
            <w:r w:rsidRPr="00646FC2">
              <w:rPr>
                <w:szCs w:val="22"/>
              </w:rPr>
              <w:t xml:space="preserve"> avons pris connaissance des procédures de contrôle interne et de gestion des risques mises en place par l’entité et avons apprécié le processus de collecte visant à l’exhaustivité et à la sincérité des Informations</w:t>
            </w:r>
            <w:r w:rsidRPr="00646FC2">
              <w:t xml:space="preserve"> </w:t>
            </w:r>
            <w:r w:rsidRPr="00646FC2">
              <w:rPr>
                <w:szCs w:val="22"/>
              </w:rPr>
              <w:t>;</w:t>
            </w:r>
          </w:p>
          <w:p w14:paraId="487D42ED" w14:textId="77777777" w:rsidR="00E36548" w:rsidRPr="00646FC2" w:rsidRDefault="00E36548" w:rsidP="00E36548">
            <w:pPr>
              <w:numPr>
                <w:ilvl w:val="0"/>
                <w:numId w:val="5"/>
              </w:numPr>
              <w:overflowPunct w:val="0"/>
              <w:autoSpaceDE w:val="0"/>
              <w:autoSpaceDN w:val="0"/>
              <w:adjustRightInd w:val="0"/>
              <w:spacing w:before="40" w:beforeAutospacing="0" w:after="0" w:afterAutospacing="0"/>
              <w:ind w:right="1165"/>
              <w:textAlignment w:val="baseline"/>
              <w:rPr>
                <w:szCs w:val="22"/>
              </w:rPr>
            </w:pPr>
            <w:proofErr w:type="gramStart"/>
            <w:r w:rsidRPr="00646FC2">
              <w:rPr>
                <w:szCs w:val="22"/>
              </w:rPr>
              <w:t>pour</w:t>
            </w:r>
            <w:proofErr w:type="gramEnd"/>
            <w:r w:rsidRPr="00646FC2">
              <w:rPr>
                <w:szCs w:val="22"/>
              </w:rPr>
              <w:t xml:space="preserve"> les indicateurs clés de performance et les autres résultats quantitatifs que nous avons considéré les plus importants </w:t>
            </w:r>
            <w:r w:rsidRPr="00646FC2">
              <w:t>présentés en Annexe 1</w:t>
            </w:r>
            <w:r w:rsidRPr="00646FC2">
              <w:rPr>
                <w:rStyle w:val="Appelnotedebasdep"/>
                <w:szCs w:val="22"/>
              </w:rPr>
              <w:footnoteReference w:id="18"/>
            </w:r>
            <w:r w:rsidRPr="00646FC2">
              <w:t xml:space="preserve">, </w:t>
            </w:r>
            <w:r w:rsidRPr="00646FC2">
              <w:rPr>
                <w:szCs w:val="22"/>
              </w:rPr>
              <w:t>nous avons mis en œuvre :</w:t>
            </w:r>
          </w:p>
          <w:p w14:paraId="087D67E6" w14:textId="77777777" w:rsidR="00E36548" w:rsidRPr="00646FC2" w:rsidRDefault="00E36548" w:rsidP="00E36548">
            <w:pPr>
              <w:numPr>
                <w:ilvl w:val="0"/>
                <w:numId w:val="7"/>
              </w:numPr>
              <w:tabs>
                <w:tab w:val="num" w:pos="1276"/>
              </w:tabs>
              <w:overflowPunct w:val="0"/>
              <w:autoSpaceDE w:val="0"/>
              <w:autoSpaceDN w:val="0"/>
              <w:adjustRightInd w:val="0"/>
              <w:spacing w:before="40" w:beforeAutospacing="0" w:after="0" w:afterAutospacing="0"/>
              <w:ind w:right="1165"/>
              <w:textAlignment w:val="baseline"/>
              <w:rPr>
                <w:szCs w:val="22"/>
              </w:rPr>
            </w:pPr>
            <w:proofErr w:type="gramStart"/>
            <w:r w:rsidRPr="00646FC2">
              <w:rPr>
                <w:szCs w:val="22"/>
              </w:rPr>
              <w:t>des</w:t>
            </w:r>
            <w:proofErr w:type="gramEnd"/>
            <w:r w:rsidRPr="00646FC2">
              <w:rPr>
                <w:szCs w:val="22"/>
              </w:rPr>
              <w:t xml:space="preserve"> procédures analytiques consistant à vérifier la correcte consolidation des données collectées ainsi que la cohérence de leurs évolutions ;</w:t>
            </w:r>
          </w:p>
          <w:p w14:paraId="4E07A850" w14:textId="7D15382E" w:rsidR="00E36548" w:rsidRPr="00646FC2" w:rsidRDefault="00E36548" w:rsidP="00E36548">
            <w:pPr>
              <w:numPr>
                <w:ilvl w:val="0"/>
                <w:numId w:val="7"/>
              </w:numPr>
              <w:tabs>
                <w:tab w:val="num" w:pos="1276"/>
              </w:tabs>
              <w:overflowPunct w:val="0"/>
              <w:autoSpaceDE w:val="0"/>
              <w:autoSpaceDN w:val="0"/>
              <w:adjustRightInd w:val="0"/>
              <w:spacing w:before="40" w:beforeAutospacing="0" w:after="0" w:afterAutospacing="0"/>
              <w:ind w:right="1165"/>
              <w:textAlignment w:val="baseline"/>
              <w:rPr>
                <w:szCs w:val="22"/>
              </w:rPr>
            </w:pPr>
            <w:proofErr w:type="gramStart"/>
            <w:r w:rsidRPr="00646FC2">
              <w:rPr>
                <w:szCs w:val="22"/>
              </w:rPr>
              <w:t>des</w:t>
            </w:r>
            <w:proofErr w:type="gramEnd"/>
            <w:r w:rsidRPr="00646FC2">
              <w:rPr>
                <w:szCs w:val="22"/>
              </w:rPr>
              <w:t xml:space="preserve"> tests de détail sur la base de sondages ou d’autres moyens de sélection, consistant à vérifier la correcte application des définitions et procédures et à rapprocher les données des pièces justificatives. Ces travaux ont été menés auprès d’une sélection d’entités contributrices</w:t>
            </w:r>
            <w:r w:rsidRPr="00646FC2">
              <w:rPr>
                <w:szCs w:val="22"/>
                <w:vertAlign w:val="superscript"/>
              </w:rPr>
              <w:fldChar w:fldCharType="begin"/>
            </w:r>
            <w:r w:rsidRPr="00646FC2">
              <w:rPr>
                <w:szCs w:val="22"/>
                <w:vertAlign w:val="superscript"/>
              </w:rPr>
              <w:instrText xml:space="preserve"> NOTEREF _Ref94274795 \h  \* MERGEFORMAT </w:instrText>
            </w:r>
            <w:r w:rsidRPr="00646FC2">
              <w:rPr>
                <w:szCs w:val="22"/>
                <w:vertAlign w:val="superscript"/>
              </w:rPr>
            </w:r>
            <w:r w:rsidRPr="00646FC2">
              <w:rPr>
                <w:szCs w:val="22"/>
                <w:vertAlign w:val="superscript"/>
              </w:rPr>
              <w:fldChar w:fldCharType="separate"/>
            </w:r>
            <w:r w:rsidR="00F62F8E">
              <w:rPr>
                <w:szCs w:val="22"/>
                <w:vertAlign w:val="superscript"/>
              </w:rPr>
              <w:t>17</w:t>
            </w:r>
            <w:r w:rsidRPr="00646FC2">
              <w:rPr>
                <w:szCs w:val="22"/>
                <w:vertAlign w:val="superscript"/>
              </w:rPr>
              <w:fldChar w:fldCharType="end"/>
            </w:r>
            <w:r w:rsidRPr="00646FC2">
              <w:rPr>
                <w:szCs w:val="22"/>
              </w:rPr>
              <w:t xml:space="preserve"> et couvrent entre X et Y% des données consolidées sélectionnées pour ces tests</w:t>
            </w:r>
            <w:r w:rsidRPr="00646FC2">
              <w:rPr>
                <w:color w:val="FF0000"/>
              </w:rPr>
              <w:t xml:space="preserve"> </w:t>
            </w:r>
            <w:r w:rsidRPr="00646FC2">
              <w:rPr>
                <w:szCs w:val="22"/>
              </w:rPr>
              <w:t>;</w:t>
            </w:r>
          </w:p>
          <w:p w14:paraId="16D0E307" w14:textId="77777777" w:rsidR="00E36548" w:rsidRPr="00646FC2" w:rsidRDefault="00E36548" w:rsidP="00E36548">
            <w:pPr>
              <w:pStyle w:val="Paragraphedeliste"/>
              <w:numPr>
                <w:ilvl w:val="0"/>
                <w:numId w:val="6"/>
              </w:numPr>
              <w:overflowPunct w:val="0"/>
              <w:autoSpaceDE w:val="0"/>
              <w:autoSpaceDN w:val="0"/>
              <w:adjustRightInd w:val="0"/>
              <w:spacing w:before="40" w:beforeAutospacing="0" w:after="0" w:afterAutospacing="0"/>
              <w:ind w:left="284" w:right="1165" w:hanging="284"/>
              <w:contextualSpacing w:val="0"/>
              <w:textAlignment w:val="baseline"/>
              <w:rPr>
                <w:szCs w:val="22"/>
              </w:rPr>
            </w:pPr>
            <w:proofErr w:type="gramStart"/>
            <w:r w:rsidRPr="00646FC2">
              <w:rPr>
                <w:szCs w:val="22"/>
              </w:rPr>
              <w:t>nous</w:t>
            </w:r>
            <w:proofErr w:type="gramEnd"/>
            <w:r w:rsidRPr="00646FC2">
              <w:rPr>
                <w:szCs w:val="22"/>
              </w:rPr>
              <w:t xml:space="preserve"> avons apprécié la cohérence d’ensemble de la Déclaration par rapport à notre connaissance de </w:t>
            </w:r>
            <w:r w:rsidRPr="00646FC2">
              <w:rPr>
                <w:kern w:val="12"/>
                <w:szCs w:val="22"/>
              </w:rPr>
              <w:t>l’entité [</w:t>
            </w:r>
            <w:r w:rsidRPr="00646FC2">
              <w:rPr>
                <w:i/>
                <w:kern w:val="12"/>
                <w:szCs w:val="22"/>
              </w:rPr>
              <w:t>Ou si l’entité établit des comptes consolidés </w:t>
            </w:r>
            <w:r w:rsidRPr="00646FC2">
              <w:rPr>
                <w:kern w:val="12"/>
                <w:szCs w:val="22"/>
              </w:rPr>
              <w:t>: de l’ensemble des entités incluses dans le périmètre de consolidation]</w:t>
            </w:r>
            <w:r w:rsidRPr="00646FC2">
              <w:rPr>
                <w:szCs w:val="22"/>
              </w:rPr>
              <w:t>.</w:t>
            </w:r>
          </w:p>
          <w:p w14:paraId="66A22E7A" w14:textId="77777777" w:rsidR="00E36548" w:rsidRPr="00646FC2" w:rsidRDefault="00E36548" w:rsidP="00B45B7D">
            <w:pPr>
              <w:pStyle w:val="TexteGrasItalic"/>
              <w:spacing w:before="240" w:after="120" w:line="240" w:lineRule="auto"/>
              <w:ind w:right="1165"/>
              <w:jc w:val="both"/>
              <w:rPr>
                <w:rFonts w:ascii="Times New Roman" w:hAnsi="Times New Roman"/>
                <w:b w:val="0"/>
                <w:i w:val="0"/>
                <w:sz w:val="22"/>
                <w:szCs w:val="22"/>
                <w:lang w:val="fr-FR"/>
              </w:rPr>
            </w:pPr>
            <w:bookmarkStart w:id="6" w:name="_Hlk84952440"/>
            <w:r w:rsidRPr="00646FC2">
              <w:rPr>
                <w:rFonts w:ascii="Times New Roman" w:hAnsi="Times New Roman"/>
                <w:b w:val="0"/>
                <w:i w:val="0"/>
                <w:color w:val="000000" w:themeColor="text1"/>
                <w:sz w:val="22"/>
                <w:szCs w:val="22"/>
                <w:lang w:val="fr-FR"/>
              </w:rPr>
              <w:t xml:space="preserve">Les procédures mises en œuvre dans le cadre d'une mission d’assurance modérée sont moins étendues que celles requises pour une mission d’assurance raisonnable effectuée selon </w:t>
            </w:r>
            <w:bookmarkEnd w:id="6"/>
            <w:r w:rsidRPr="00646FC2">
              <w:rPr>
                <w:rFonts w:ascii="Times New Roman" w:hAnsi="Times New Roman"/>
                <w:b w:val="0"/>
                <w:i w:val="0"/>
                <w:color w:val="000000" w:themeColor="text1"/>
                <w:sz w:val="22"/>
                <w:szCs w:val="22"/>
                <w:lang w:val="fr-FR"/>
              </w:rPr>
              <w:t>la doctrine professionnelle de la Compagnie nationale des commissaires aux comptes</w:t>
            </w:r>
            <w:r w:rsidRPr="00646FC2">
              <w:rPr>
                <w:color w:val="000000" w:themeColor="text1"/>
                <w:szCs w:val="22"/>
                <w:lang w:val="fr-FR"/>
              </w:rPr>
              <w:t xml:space="preserve"> </w:t>
            </w:r>
            <w:r w:rsidRPr="00646FC2">
              <w:rPr>
                <w:rFonts w:ascii="Times New Roman" w:hAnsi="Times New Roman"/>
                <w:b w:val="0"/>
                <w:i w:val="0"/>
                <w:sz w:val="22"/>
                <w:szCs w:val="22"/>
                <w:lang w:val="fr-FR"/>
              </w:rPr>
              <w:t xml:space="preserve">; une assurance de niveau supérieur aurait nécessité des travaux de vérification plus étendus. </w:t>
            </w:r>
          </w:p>
        </w:tc>
      </w:tr>
      <w:tr w:rsidR="00E36548" w:rsidRPr="00333C51" w14:paraId="2F777FA9" w14:textId="77777777" w:rsidTr="00B45B7D">
        <w:trPr>
          <w:trHeight w:val="70"/>
        </w:trPr>
        <w:tc>
          <w:tcPr>
            <w:tcW w:w="10485" w:type="dxa"/>
            <w:gridSpan w:val="2"/>
          </w:tcPr>
          <w:p w14:paraId="5E019334" w14:textId="77777777" w:rsidR="00E36548" w:rsidRDefault="00E36548" w:rsidP="00B45B7D">
            <w:pPr>
              <w:spacing w:before="240" w:beforeAutospacing="0" w:after="0" w:afterAutospacing="0"/>
            </w:pPr>
            <w:r w:rsidRPr="00333C51">
              <w:lastRenderedPageBreak/>
              <w:t>Paris/…, le X XXX 202</w:t>
            </w:r>
            <w:r>
              <w:t>X</w:t>
            </w:r>
          </w:p>
          <w:p w14:paraId="38304944" w14:textId="32B313D8" w:rsidR="00A4799B" w:rsidRPr="00333C51" w:rsidRDefault="00A4799B" w:rsidP="00B45B7D">
            <w:pPr>
              <w:spacing w:before="240" w:beforeAutospacing="0" w:after="0" w:afterAutospacing="0"/>
            </w:pPr>
          </w:p>
        </w:tc>
      </w:tr>
      <w:tr w:rsidR="00E36548" w:rsidRPr="00333C51" w14:paraId="74D9C07B" w14:textId="77777777" w:rsidTr="00B45B7D">
        <w:tc>
          <w:tcPr>
            <w:tcW w:w="10485" w:type="dxa"/>
            <w:gridSpan w:val="2"/>
          </w:tcPr>
          <w:p w14:paraId="5D132F30" w14:textId="77777777" w:rsidR="00E36548" w:rsidRPr="00333C51" w:rsidRDefault="00E36548" w:rsidP="00B45B7D">
            <w:r w:rsidRPr="00333C51">
              <w:t>L’un des commissaires aux comptes,</w:t>
            </w:r>
          </w:p>
          <w:p w14:paraId="44063654" w14:textId="77777777" w:rsidR="00E36548" w:rsidRPr="00333C51" w:rsidRDefault="00E36548" w:rsidP="00B45B7D">
            <w:pPr>
              <w:jc w:val="center"/>
              <w:rPr>
                <w:b/>
              </w:rPr>
            </w:pPr>
            <w:r w:rsidRPr="00333C51">
              <w:rPr>
                <w:b/>
              </w:rPr>
              <w:t xml:space="preserve">Cabinet </w:t>
            </w:r>
          </w:p>
          <w:p w14:paraId="03408487" w14:textId="77777777" w:rsidR="00E36548" w:rsidRPr="00333C51" w:rsidRDefault="00E36548" w:rsidP="00B45B7D">
            <w:pPr>
              <w:ind w:left="708" w:firstLine="708"/>
              <w:rPr>
                <w:iCs/>
              </w:rPr>
            </w:pPr>
            <w:r w:rsidRPr="00333C51">
              <w:rPr>
                <w:iCs/>
              </w:rPr>
              <w:t xml:space="preserve">    </w:t>
            </w:r>
            <w:proofErr w:type="spellStart"/>
            <w:r w:rsidRPr="00333C51">
              <w:rPr>
                <w:iCs/>
              </w:rPr>
              <w:t>Xxxx</w:t>
            </w:r>
            <w:proofErr w:type="spellEnd"/>
            <w:r w:rsidRPr="00333C51">
              <w:rPr>
                <w:iCs/>
              </w:rPr>
              <w:t xml:space="preserve"> </w:t>
            </w:r>
            <w:proofErr w:type="spellStart"/>
            <w:r w:rsidRPr="00333C51">
              <w:rPr>
                <w:iCs/>
              </w:rPr>
              <w:t>Xxxxx</w:t>
            </w:r>
            <w:proofErr w:type="spellEnd"/>
            <w:r w:rsidRPr="00333C51">
              <w:rPr>
                <w:iCs/>
              </w:rPr>
              <w:tab/>
            </w:r>
            <w:r w:rsidRPr="00333C51">
              <w:rPr>
                <w:iCs/>
              </w:rPr>
              <w:tab/>
            </w:r>
            <w:r w:rsidRPr="00333C51">
              <w:rPr>
                <w:iCs/>
              </w:rPr>
              <w:tab/>
            </w:r>
            <w:r w:rsidRPr="00333C51">
              <w:rPr>
                <w:iCs/>
              </w:rPr>
              <w:tab/>
            </w:r>
            <w:r w:rsidRPr="00333C51">
              <w:rPr>
                <w:iCs/>
              </w:rPr>
              <w:tab/>
            </w:r>
            <w:r w:rsidRPr="00333C51">
              <w:rPr>
                <w:iCs/>
              </w:rPr>
              <w:tab/>
            </w:r>
            <w:r w:rsidRPr="00333C51">
              <w:rPr>
                <w:iCs/>
              </w:rPr>
              <w:tab/>
            </w:r>
            <w:r w:rsidRPr="00333C51">
              <w:rPr>
                <w:iCs/>
              </w:rPr>
              <w:tab/>
              <w:t>X XX</w:t>
            </w:r>
          </w:p>
          <w:p w14:paraId="5D28DC13" w14:textId="77777777" w:rsidR="00E36548" w:rsidRPr="00333C51" w:rsidRDefault="00E36548" w:rsidP="00B45B7D">
            <w:pPr>
              <w:ind w:right="1165"/>
              <w:rPr>
                <w:iCs/>
                <w:highlight w:val="lightGray"/>
              </w:rPr>
            </w:pPr>
            <w:r w:rsidRPr="00333C51">
              <w:rPr>
                <w:iCs/>
              </w:rPr>
              <w:t xml:space="preserve">       Associé</w:t>
            </w:r>
            <w:r w:rsidRPr="00333C51">
              <w:rPr>
                <w:iCs/>
              </w:rPr>
              <w:tab/>
            </w:r>
            <w:r w:rsidRPr="00333C51">
              <w:rPr>
                <w:iCs/>
              </w:rPr>
              <w:tab/>
            </w:r>
            <w:r w:rsidRPr="00333C51">
              <w:rPr>
                <w:iCs/>
              </w:rPr>
              <w:tab/>
            </w:r>
            <w:r w:rsidRPr="00333C51">
              <w:rPr>
                <w:iCs/>
              </w:rPr>
              <w:tab/>
            </w:r>
            <w:r w:rsidRPr="00333C51">
              <w:rPr>
                <w:iCs/>
              </w:rPr>
              <w:tab/>
            </w:r>
            <w:r w:rsidRPr="00333C51">
              <w:rPr>
                <w:iCs/>
              </w:rPr>
              <w:tab/>
            </w:r>
            <w:r w:rsidRPr="00333C51">
              <w:rPr>
                <w:iCs/>
              </w:rPr>
              <w:tab/>
              <w:t>Associé, Développement Durable</w:t>
            </w:r>
          </w:p>
          <w:p w14:paraId="1E3510FF" w14:textId="77777777" w:rsidR="00E36548" w:rsidRPr="00333C51" w:rsidRDefault="00E36548" w:rsidP="00B45B7D"/>
        </w:tc>
      </w:tr>
    </w:tbl>
    <w:p w14:paraId="33C7EA8B" w14:textId="2BD5AC8E" w:rsidR="007B772D" w:rsidRPr="00963874" w:rsidRDefault="007B772D" w:rsidP="00A4799B">
      <w:pPr>
        <w:spacing w:before="0" w:beforeAutospacing="0" w:after="0" w:afterAutospacing="0"/>
      </w:pPr>
    </w:p>
    <w:sectPr w:rsidR="007B772D" w:rsidRPr="0096387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E1B13" w14:textId="77777777" w:rsidR="00550D61" w:rsidRDefault="00550D61" w:rsidP="007B772D">
      <w:pPr>
        <w:spacing w:before="0" w:after="0"/>
      </w:pPr>
      <w:r>
        <w:separator/>
      </w:r>
    </w:p>
  </w:endnote>
  <w:endnote w:type="continuationSeparator" w:id="0">
    <w:p w14:paraId="79E2A74A" w14:textId="77777777" w:rsidR="00550D61" w:rsidRDefault="00550D61" w:rsidP="007B77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YInterstate Light">
    <w:altName w:val="Times New Roman"/>
    <w:charset w:val="00"/>
    <w:family w:val="auto"/>
    <w:pitch w:val="variable"/>
    <w:sig w:usb0="A00002AF" w:usb1="5000206A" w:usb2="00000000" w:usb3="00000000" w:csb0="0000009F" w:csb1="00000000"/>
  </w:font>
  <w:font w:name="Georgia">
    <w:panose1 w:val="02040502050405020303"/>
    <w:charset w:val="00"/>
    <w:family w:val="roman"/>
    <w:pitch w:val="variable"/>
    <w:sig w:usb0="00000287" w:usb1="00000000" w:usb2="00000000" w:usb3="00000000" w:csb0="0000009F" w:csb1="00000000"/>
  </w:font>
  <w:font w:name="EYInterstate">
    <w:altName w:val="Calibri"/>
    <w:charset w:val="00"/>
    <w:family w:val="auto"/>
    <w:pitch w:val="variable"/>
    <w:sig w:usb0="A00002AF" w:usb1="5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A042B" w14:textId="77777777" w:rsidR="00F10E94" w:rsidRDefault="00F10E94" w:rsidP="00F10E94">
    <w:pPr>
      <w:pStyle w:val="Pieddepage"/>
      <w:spacing w:beforeAutospacing="0" w:afterAutospacing="0"/>
      <w:rPr>
        <w:rFonts w:eastAsiaTheme="minorHAnsi" w:cstheme="minorBidi"/>
        <w:sz w:val="16"/>
        <w:szCs w:val="16"/>
      </w:rPr>
    </w:pPr>
    <w:r>
      <w:rPr>
        <w:rFonts w:eastAsiaTheme="minorHAnsi"/>
        <w:sz w:val="16"/>
        <w:szCs w:val="16"/>
      </w:rPr>
      <w:t>©</w:t>
    </w:r>
    <w:r>
      <w:rPr>
        <w:rFonts w:eastAsiaTheme="minorHAnsi" w:cstheme="minorBidi"/>
        <w:sz w:val="16"/>
        <w:szCs w:val="16"/>
      </w:rPr>
      <w:t xml:space="preserve"> </w:t>
    </w:r>
    <w:bookmarkStart w:id="7" w:name="_Hlk95984626"/>
    <w:r>
      <w:rPr>
        <w:rFonts w:eastAsiaTheme="minorHAnsi" w:cstheme="minorBidi"/>
        <w:sz w:val="16"/>
        <w:szCs w:val="16"/>
      </w:rPr>
      <w:t>CNCC – Avis Technique - Intervention du CAC - Intervention de l’OTI - Déclaration de performance extra-financière – Juin 2023</w:t>
    </w:r>
    <w:bookmarkEnd w:id="7"/>
  </w:p>
  <w:p w14:paraId="45960927" w14:textId="52A64E77" w:rsidR="00F10E94" w:rsidRDefault="00F10E94">
    <w:pPr>
      <w:pStyle w:val="Pieddepage"/>
      <w:spacing w:beforeAutospacing="0" w:afterAutospacing="0"/>
    </w:pPr>
    <w:r>
      <w:rPr>
        <w:rFonts w:eastAsiaTheme="minorHAnsi" w:cstheme="minorBidi"/>
        <w:sz w:val="16"/>
        <w:szCs w:val="16"/>
      </w:rPr>
      <w:t>Tous droits réservés® – CNCC 2023</w:t>
    </w:r>
    <w:r>
      <w:rPr>
        <w:rFonts w:eastAsiaTheme="minorHAnsi" w:cstheme="minorBidi"/>
        <w:sz w:val="16"/>
        <w:szCs w:val="16"/>
      </w:rPr>
      <w:tab/>
    </w:r>
    <w:r>
      <w:rPr>
        <w:rFonts w:eastAsiaTheme="minorHAnsi" w:cstheme="minorBidi"/>
        <w:sz w:val="16"/>
        <w:szCs w:val="16"/>
      </w:rPr>
      <w:tab/>
    </w:r>
    <w:r>
      <w:rPr>
        <w:rFonts w:eastAsiaTheme="minorHAnsi" w:cstheme="minorBidi"/>
        <w:sz w:val="16"/>
        <w:szCs w:val="16"/>
      </w:rPr>
      <w:fldChar w:fldCharType="begin"/>
    </w:r>
    <w:r>
      <w:rPr>
        <w:rFonts w:eastAsiaTheme="minorHAnsi" w:cstheme="minorBidi"/>
        <w:sz w:val="16"/>
        <w:szCs w:val="16"/>
      </w:rPr>
      <w:instrText>PAGE  \* Arabic  \* MERGEFORMAT</w:instrText>
    </w:r>
    <w:r>
      <w:rPr>
        <w:rFonts w:eastAsiaTheme="minorHAnsi" w:cstheme="minorBidi"/>
        <w:sz w:val="16"/>
        <w:szCs w:val="16"/>
      </w:rPr>
      <w:fldChar w:fldCharType="separate"/>
    </w:r>
    <w:r>
      <w:rPr>
        <w:rFonts w:eastAsiaTheme="minorHAnsi" w:cstheme="minorBidi"/>
        <w:sz w:val="16"/>
        <w:szCs w:val="16"/>
      </w:rPr>
      <w:t>1</w:t>
    </w:r>
    <w:r>
      <w:rPr>
        <w:rFonts w:eastAsiaTheme="minorHAnsi" w:cstheme="minorBidi"/>
        <w:sz w:val="16"/>
        <w:szCs w:val="16"/>
      </w:rPr>
      <w:fldChar w:fldCharType="end"/>
    </w:r>
    <w:r>
      <w:rPr>
        <w:rFonts w:eastAsiaTheme="minorHAnsi" w:cstheme="minorBidi"/>
        <w:sz w:val="16"/>
        <w:szCs w:val="16"/>
      </w:rPr>
      <w:t>/</w:t>
    </w:r>
    <w:r>
      <w:rPr>
        <w:rFonts w:eastAsiaTheme="minorHAnsi" w:cstheme="minorBidi"/>
        <w:sz w:val="16"/>
        <w:szCs w:val="16"/>
      </w:rPr>
      <w:fldChar w:fldCharType="begin"/>
    </w:r>
    <w:r>
      <w:rPr>
        <w:rFonts w:eastAsiaTheme="minorHAnsi" w:cstheme="minorBidi"/>
        <w:sz w:val="16"/>
        <w:szCs w:val="16"/>
      </w:rPr>
      <w:instrText>NUMPAGES  \* Arabic  \* MERGEFORMAT</w:instrText>
    </w:r>
    <w:r>
      <w:rPr>
        <w:rFonts w:eastAsiaTheme="minorHAnsi" w:cstheme="minorBidi"/>
        <w:sz w:val="16"/>
        <w:szCs w:val="16"/>
      </w:rPr>
      <w:fldChar w:fldCharType="separate"/>
    </w:r>
    <w:r>
      <w:rPr>
        <w:rFonts w:eastAsiaTheme="minorHAnsi" w:cstheme="minorBidi"/>
        <w:sz w:val="16"/>
        <w:szCs w:val="16"/>
      </w:rPr>
      <w:t>1</w:t>
    </w:r>
    <w:r>
      <w:rPr>
        <w:rFonts w:eastAsiaTheme="minorHAnsi" w:cstheme="minorBid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46B2E" w14:textId="77777777" w:rsidR="00550D61" w:rsidRDefault="00550D61" w:rsidP="007B772D">
      <w:pPr>
        <w:spacing w:before="0" w:after="0"/>
      </w:pPr>
      <w:r>
        <w:separator/>
      </w:r>
    </w:p>
  </w:footnote>
  <w:footnote w:type="continuationSeparator" w:id="0">
    <w:p w14:paraId="066910B4" w14:textId="77777777" w:rsidR="00550D61" w:rsidRDefault="00550D61" w:rsidP="007B772D">
      <w:pPr>
        <w:spacing w:before="0" w:after="0"/>
      </w:pPr>
      <w:r>
        <w:continuationSeparator/>
      </w:r>
    </w:p>
  </w:footnote>
  <w:footnote w:id="1">
    <w:p w14:paraId="60BA1CB7" w14:textId="77777777" w:rsidR="00E36548" w:rsidRPr="001F64D1" w:rsidRDefault="00E36548" w:rsidP="00E36548">
      <w:pPr>
        <w:pStyle w:val="Notedebasdepage"/>
        <w:spacing w:after="20"/>
      </w:pPr>
      <w:r w:rsidRPr="001F64D1">
        <w:rPr>
          <w:rStyle w:val="Appelnotedebasdep"/>
        </w:rPr>
        <w:footnoteRef/>
      </w:r>
      <w:r w:rsidRPr="001F64D1">
        <w:t xml:space="preserve"> Le cas échéant, consolidée</w:t>
      </w:r>
      <w:r>
        <w:t>.</w:t>
      </w:r>
    </w:p>
  </w:footnote>
  <w:footnote w:id="2">
    <w:p w14:paraId="5EEC7B9C" w14:textId="77777777" w:rsidR="00E36548" w:rsidRPr="001F64D1" w:rsidRDefault="00E36548" w:rsidP="00E36548">
      <w:pPr>
        <w:pStyle w:val="Notedebasdepage"/>
        <w:spacing w:after="20"/>
      </w:pPr>
      <w:r w:rsidRPr="001F64D1">
        <w:rPr>
          <w:rStyle w:val="Appelnotedebasdep"/>
        </w:rPr>
        <w:footnoteRef/>
      </w:r>
      <w:r w:rsidRPr="001F64D1">
        <w:t xml:space="preserve"> </w:t>
      </w:r>
      <w:r w:rsidRPr="009B2571">
        <w:rPr>
          <w:caps/>
        </w:rPr>
        <w:t>à</w:t>
      </w:r>
      <w:r w:rsidRPr="001F64D1">
        <w:t xml:space="preserve"> adapter dans tout le rapport lorsque l’OTI n’est pas le commissaire aux comptes de l’entité mais membre du réseau du commissaire aux comptes</w:t>
      </w:r>
      <w:r>
        <w:t>.</w:t>
      </w:r>
    </w:p>
  </w:footnote>
  <w:footnote w:id="3">
    <w:p w14:paraId="314EF56D" w14:textId="77777777" w:rsidR="00E36548" w:rsidRPr="001F64D1" w:rsidRDefault="00E36548" w:rsidP="00E36548">
      <w:pPr>
        <w:pStyle w:val="Notedebasdepage"/>
        <w:spacing w:after="20"/>
      </w:pPr>
      <w:r w:rsidRPr="001F64D1">
        <w:rPr>
          <w:rStyle w:val="Appelnotedebasdep"/>
        </w:rPr>
        <w:footnoteRef/>
      </w:r>
      <w:r w:rsidRPr="001F64D1">
        <w:t xml:space="preserve"> Le cas échéant, en fonction du statut de l’accréditation « dont la recevabilité de la demande d’accréditation a été admise par le COFRAC »</w:t>
      </w:r>
      <w:r>
        <w:t>.</w:t>
      </w:r>
    </w:p>
  </w:footnote>
  <w:footnote w:id="4">
    <w:p w14:paraId="3D2A23B3" w14:textId="77777777" w:rsidR="00E36548" w:rsidRPr="001F64D1" w:rsidRDefault="00E36548" w:rsidP="00E36548">
      <w:pPr>
        <w:pStyle w:val="Notedebasdepage"/>
        <w:spacing w:after="20"/>
      </w:pPr>
      <w:r w:rsidRPr="001F64D1">
        <w:rPr>
          <w:rStyle w:val="Appelnotedebasdep"/>
        </w:rPr>
        <w:footnoteRef/>
      </w:r>
      <w:r w:rsidRPr="001F64D1">
        <w:t xml:space="preserve"> Le cas échéant, du groupe</w:t>
      </w:r>
      <w:r>
        <w:t>.</w:t>
      </w:r>
    </w:p>
  </w:footnote>
  <w:footnote w:id="5">
    <w:p w14:paraId="14A86059" w14:textId="77777777" w:rsidR="00E36548" w:rsidRPr="009B2571" w:rsidRDefault="00E36548" w:rsidP="00E36548">
      <w:pPr>
        <w:pStyle w:val="Notedebasdepage"/>
        <w:spacing w:after="20"/>
      </w:pPr>
      <w:r>
        <w:rPr>
          <w:rStyle w:val="Appelnotedebasdep"/>
        </w:rPr>
        <w:footnoteRef/>
      </w:r>
      <w:r>
        <w:t xml:space="preserve"> </w:t>
      </w:r>
      <w:r w:rsidRPr="001F64D1">
        <w:t xml:space="preserve">Le </w:t>
      </w:r>
      <w:r w:rsidRPr="009B2571">
        <w:t>cas échéant, consolidée.</w:t>
      </w:r>
    </w:p>
  </w:footnote>
  <w:footnote w:id="6">
    <w:p w14:paraId="1A84F367" w14:textId="77777777" w:rsidR="00E36548" w:rsidRPr="009B2571" w:rsidRDefault="00E36548" w:rsidP="00E36548">
      <w:pPr>
        <w:pStyle w:val="Bullet"/>
        <w:keepNext/>
        <w:numPr>
          <w:ilvl w:val="0"/>
          <w:numId w:val="0"/>
        </w:numPr>
        <w:tabs>
          <w:tab w:val="left" w:pos="142"/>
        </w:tabs>
        <w:spacing w:after="20" w:line="240" w:lineRule="auto"/>
        <w:ind w:left="284" w:hanging="284"/>
        <w:jc w:val="both"/>
        <w:rPr>
          <w:rFonts w:ascii="Times New Roman" w:hAnsi="Times New Roman"/>
          <w:szCs w:val="20"/>
        </w:rPr>
      </w:pPr>
      <w:r w:rsidRPr="009B2571">
        <w:rPr>
          <w:rStyle w:val="Appelnotedebasdep"/>
          <w:rFonts w:ascii="Times New Roman" w:hAnsi="Times New Roman"/>
          <w:szCs w:val="20"/>
        </w:rPr>
        <w:footnoteRef/>
      </w:r>
      <w:r w:rsidRPr="009B2571">
        <w:rPr>
          <w:rFonts w:ascii="Times New Roman" w:hAnsi="Times New Roman"/>
          <w:szCs w:val="20"/>
        </w:rPr>
        <w:t xml:space="preserve"> Comme le prévoit l’article A. 225-3 III, l’OTI peut décider, sans que cela ait un caractère de réserves, d'attirer l'attention du lecteur, sans être dispensateur d’information, sur des éléments relatifs aux procédures utilisées ou au contenu de certaines informations relatées par l’entité, aux fins d’en améliorer la fiabilité, au regard des pratiques de place, en particulier sur :</w:t>
      </w:r>
    </w:p>
    <w:p w14:paraId="797A6B50" w14:textId="77777777" w:rsidR="00E36548" w:rsidRPr="009B2571" w:rsidRDefault="00E36548" w:rsidP="00C510F3">
      <w:pPr>
        <w:pStyle w:val="Bullet"/>
        <w:keepNext/>
        <w:numPr>
          <w:ilvl w:val="0"/>
          <w:numId w:val="9"/>
        </w:numPr>
        <w:tabs>
          <w:tab w:val="left" w:pos="284"/>
        </w:tabs>
        <w:spacing w:after="0" w:line="240" w:lineRule="auto"/>
        <w:ind w:left="284" w:hanging="284"/>
        <w:jc w:val="both"/>
        <w:rPr>
          <w:rFonts w:ascii="Times New Roman" w:hAnsi="Times New Roman"/>
          <w:szCs w:val="20"/>
        </w:rPr>
      </w:pPr>
      <w:proofErr w:type="gramStart"/>
      <w:r w:rsidRPr="009B2571">
        <w:rPr>
          <w:rFonts w:ascii="Times New Roman" w:hAnsi="Times New Roman"/>
          <w:szCs w:val="20"/>
        </w:rPr>
        <w:t>les</w:t>
      </w:r>
      <w:proofErr w:type="gramEnd"/>
      <w:r w:rsidRPr="009B2571">
        <w:rPr>
          <w:rFonts w:ascii="Times New Roman" w:hAnsi="Times New Roman"/>
          <w:szCs w:val="20"/>
        </w:rPr>
        <w:t xml:space="preserve"> limites significatives de périmètre et de comparabilité ;</w:t>
      </w:r>
    </w:p>
    <w:p w14:paraId="6873E567" w14:textId="77777777" w:rsidR="00E36548" w:rsidRPr="009B2571" w:rsidRDefault="00E36548" w:rsidP="00E36548">
      <w:pPr>
        <w:pStyle w:val="Bullet"/>
        <w:keepNext/>
        <w:numPr>
          <w:ilvl w:val="0"/>
          <w:numId w:val="9"/>
        </w:numPr>
        <w:tabs>
          <w:tab w:val="left" w:pos="284"/>
        </w:tabs>
        <w:spacing w:after="0" w:line="240" w:lineRule="auto"/>
        <w:ind w:left="284" w:hanging="284"/>
        <w:jc w:val="both"/>
        <w:rPr>
          <w:rFonts w:ascii="Times New Roman" w:hAnsi="Times New Roman"/>
          <w:szCs w:val="20"/>
        </w:rPr>
      </w:pPr>
      <w:proofErr w:type="gramStart"/>
      <w:r w:rsidRPr="009B2571">
        <w:rPr>
          <w:rFonts w:ascii="Times New Roman" w:hAnsi="Times New Roman"/>
          <w:szCs w:val="20"/>
        </w:rPr>
        <w:t>les</w:t>
      </w:r>
      <w:proofErr w:type="gramEnd"/>
      <w:r w:rsidRPr="009B2571">
        <w:rPr>
          <w:rFonts w:ascii="Times New Roman" w:hAnsi="Times New Roman"/>
          <w:szCs w:val="20"/>
        </w:rPr>
        <w:t xml:space="preserve"> limites des processus mis en place pour répondre aux exigences de conformité (modèle d’affaires, principaux risques, politiques, actions, résultats et indicateurs clés de performance) ;</w:t>
      </w:r>
    </w:p>
    <w:p w14:paraId="41349EAC" w14:textId="77777777" w:rsidR="00E36548" w:rsidRPr="009B2571" w:rsidRDefault="00E36548" w:rsidP="00E36548">
      <w:pPr>
        <w:pStyle w:val="Bullet"/>
        <w:keepNext/>
        <w:numPr>
          <w:ilvl w:val="0"/>
          <w:numId w:val="9"/>
        </w:numPr>
        <w:tabs>
          <w:tab w:val="left" w:pos="284"/>
        </w:tabs>
        <w:spacing w:after="0" w:line="240" w:lineRule="auto"/>
        <w:ind w:left="284" w:hanging="284"/>
        <w:jc w:val="both"/>
        <w:rPr>
          <w:rFonts w:ascii="Times New Roman" w:hAnsi="Times New Roman"/>
          <w:szCs w:val="20"/>
        </w:rPr>
      </w:pPr>
      <w:proofErr w:type="gramStart"/>
      <w:r w:rsidRPr="009B2571">
        <w:rPr>
          <w:rFonts w:ascii="Times New Roman" w:hAnsi="Times New Roman"/>
          <w:szCs w:val="20"/>
        </w:rPr>
        <w:t>la</w:t>
      </w:r>
      <w:proofErr w:type="gramEnd"/>
      <w:r w:rsidRPr="009B2571">
        <w:rPr>
          <w:rFonts w:ascii="Times New Roman" w:hAnsi="Times New Roman"/>
          <w:szCs w:val="20"/>
        </w:rPr>
        <w:t xml:space="preserve"> fiabilité des actions et résultats incluant les indicateurs clés de performance.</w:t>
      </w:r>
    </w:p>
    <w:p w14:paraId="1AB808CC" w14:textId="77777777" w:rsidR="00E36548" w:rsidRPr="001F64D1" w:rsidRDefault="00E36548" w:rsidP="00E36548">
      <w:pPr>
        <w:pStyle w:val="Bullet"/>
        <w:keepNext/>
        <w:numPr>
          <w:ilvl w:val="0"/>
          <w:numId w:val="0"/>
        </w:numPr>
        <w:spacing w:after="20" w:line="240" w:lineRule="auto"/>
        <w:jc w:val="both"/>
        <w:rPr>
          <w:rFonts w:ascii="Times New Roman" w:hAnsi="Times New Roman"/>
          <w:szCs w:val="20"/>
        </w:rPr>
      </w:pPr>
      <w:r w:rsidRPr="009B2571">
        <w:rPr>
          <w:rFonts w:ascii="Times New Roman" w:hAnsi="Times New Roman"/>
          <w:szCs w:val="20"/>
        </w:rPr>
        <w:t>Les commentaires, pour avoir une nature d’observation, doivent être d’une</w:t>
      </w:r>
      <w:r w:rsidRPr="001F64D1">
        <w:rPr>
          <w:rFonts w:ascii="Times New Roman" w:hAnsi="Times New Roman"/>
          <w:szCs w:val="20"/>
        </w:rPr>
        <w:t xml:space="preserve"> portée limitée sur les éléments clés de la Déclaration</w:t>
      </w:r>
      <w:r>
        <w:rPr>
          <w:rFonts w:ascii="Times New Roman" w:hAnsi="Times New Roman"/>
          <w:szCs w:val="20"/>
        </w:rPr>
        <w:t>.</w:t>
      </w:r>
    </w:p>
  </w:footnote>
  <w:footnote w:id="7">
    <w:p w14:paraId="21364B8F" w14:textId="77777777" w:rsidR="00E36548" w:rsidRPr="001F64D1" w:rsidRDefault="00E36548" w:rsidP="00E36548">
      <w:pPr>
        <w:pStyle w:val="Notedebasdepage"/>
        <w:tabs>
          <w:tab w:val="left" w:pos="142"/>
        </w:tabs>
        <w:spacing w:after="20"/>
      </w:pPr>
      <w:r w:rsidRPr="001F64D1">
        <w:rPr>
          <w:rStyle w:val="Appelnotedebasdep"/>
        </w:rPr>
        <w:footnoteRef/>
      </w:r>
      <w:r w:rsidRPr="001F64D1">
        <w:t xml:space="preserve"> Lorsque l’ISAE 3000 (Révisée) - </w:t>
      </w:r>
      <w:r w:rsidRPr="001F64D1">
        <w:rPr>
          <w:i/>
          <w:iCs w:val="0"/>
        </w:rPr>
        <w:t>Mission d’assurance autres que les audits et examens limités de l’information financière historique</w:t>
      </w:r>
      <w:r w:rsidRPr="001F64D1" w:rsidDel="004B080B">
        <w:rPr>
          <w:i/>
        </w:rPr>
        <w:t xml:space="preserve"> </w:t>
      </w:r>
      <w:r w:rsidRPr="001F64D1">
        <w:t>est mentionnée dans le rapport de l’OTI ou lorsque souhaité par l’entité</w:t>
      </w:r>
      <w:r>
        <w:t>.</w:t>
      </w:r>
    </w:p>
  </w:footnote>
  <w:footnote w:id="8">
    <w:p w14:paraId="3AFD716F" w14:textId="77777777" w:rsidR="00E36548" w:rsidRDefault="00E36548" w:rsidP="00E36548">
      <w:pPr>
        <w:pStyle w:val="Notedebasdepage"/>
      </w:pPr>
      <w:r>
        <w:rPr>
          <w:rStyle w:val="Appelnotedebasdep"/>
        </w:rPr>
        <w:footnoteRef/>
      </w:r>
      <w:r>
        <w:t xml:space="preserve"> </w:t>
      </w:r>
      <w:r w:rsidRPr="009B2571">
        <w:rPr>
          <w:caps/>
        </w:rPr>
        <w:t>à</w:t>
      </w:r>
      <w:r>
        <w:t xml:space="preserve"> supprimer si l’entité n’est pas soumise à la réglementation taxonomie.</w:t>
      </w:r>
    </w:p>
  </w:footnote>
  <w:footnote w:id="9">
    <w:p w14:paraId="27F589EA" w14:textId="77777777" w:rsidR="00E36548" w:rsidRDefault="00E36548" w:rsidP="00E36548">
      <w:pPr>
        <w:pStyle w:val="Notedebasdepage"/>
      </w:pPr>
      <w:r>
        <w:rPr>
          <w:rStyle w:val="Appelnotedebasdep"/>
        </w:rPr>
        <w:footnoteRef/>
      </w:r>
      <w:r>
        <w:t xml:space="preserve"> </w:t>
      </w:r>
      <w:r w:rsidRPr="009B2571">
        <w:rPr>
          <w:caps/>
        </w:rPr>
        <w:t>à</w:t>
      </w:r>
      <w:r>
        <w:t xml:space="preserve"> supprimer si l’entité est en deçà des seuils requis pour l’établissement d’un plan de vigilance.</w:t>
      </w:r>
    </w:p>
  </w:footnote>
  <w:footnote w:id="10">
    <w:p w14:paraId="11B8A0A4" w14:textId="77777777" w:rsidR="00E36548" w:rsidRDefault="00E36548" w:rsidP="00E36548">
      <w:pPr>
        <w:pStyle w:val="Notedebasdepage"/>
      </w:pPr>
      <w:r>
        <w:rPr>
          <w:rStyle w:val="Appelnotedebasdep"/>
        </w:rPr>
        <w:footnoteRef/>
      </w:r>
      <w:r>
        <w:t xml:space="preserve"> </w:t>
      </w:r>
      <w:r w:rsidRPr="009B2571">
        <w:rPr>
          <w:caps/>
        </w:rPr>
        <w:t>à</w:t>
      </w:r>
      <w:r>
        <w:t xml:space="preserve"> supprimer si </w:t>
      </w:r>
      <w:r w:rsidRPr="0068645D">
        <w:t xml:space="preserve">l’entité n’est pas </w:t>
      </w:r>
      <w:r w:rsidRPr="0068645D">
        <w:rPr>
          <w:rFonts w:cstheme="minorHAnsi"/>
        </w:rPr>
        <w:t>une entité dont les titres sont admis aux négociations sur un marché réglementé ou une entité spécifiquement soumise aux dispositions de l’article L. 225-102-1 dans les conditions prévues pour les sociétés mentionnées à l’article L. 22-10-36 du code de commerce</w:t>
      </w:r>
      <w:r>
        <w:rPr>
          <w:rFonts w:cstheme="minorHAnsi"/>
        </w:rPr>
        <w:t>.</w:t>
      </w:r>
    </w:p>
  </w:footnote>
  <w:footnote w:id="11">
    <w:p w14:paraId="72F763C1" w14:textId="77777777" w:rsidR="00E36548" w:rsidRPr="001F64D1" w:rsidRDefault="00E36548" w:rsidP="00E36548">
      <w:pPr>
        <w:pStyle w:val="Commentaire"/>
        <w:spacing w:before="0" w:beforeAutospacing="0" w:after="20" w:afterAutospacing="0"/>
      </w:pPr>
      <w:r w:rsidRPr="001F64D1">
        <w:rPr>
          <w:rStyle w:val="Appelnotedebasdep"/>
        </w:rPr>
        <w:footnoteRef/>
      </w:r>
      <w:r w:rsidRPr="001F64D1">
        <w:t xml:space="preserve"> Ajouter « [et] » pour les cas où on ne mentionne pas ISAE 3000. Dans ce cas supprimer la virgule</w:t>
      </w:r>
      <w:r>
        <w:t>.</w:t>
      </w:r>
    </w:p>
  </w:footnote>
  <w:footnote w:id="12">
    <w:p w14:paraId="17BADB73" w14:textId="77777777" w:rsidR="00E36548" w:rsidRPr="001F64D1" w:rsidRDefault="00E36548" w:rsidP="00E36548">
      <w:pPr>
        <w:pStyle w:val="Notedebasdepage"/>
        <w:spacing w:after="20"/>
      </w:pPr>
      <w:r w:rsidRPr="001F64D1">
        <w:rPr>
          <w:rStyle w:val="Appelnotedebasdep"/>
        </w:rPr>
        <w:footnoteRef/>
      </w:r>
      <w:r w:rsidRPr="001F64D1">
        <w:t xml:space="preserve"> ISAE 3000 (révisée)</w:t>
      </w:r>
      <w:r>
        <w:t xml:space="preserve"> </w:t>
      </w:r>
      <w:r w:rsidRPr="001F64D1">
        <w:t xml:space="preserve">- </w:t>
      </w:r>
      <w:r w:rsidRPr="001F64D1">
        <w:rPr>
          <w:i/>
        </w:rPr>
        <w:t xml:space="preserve">Assurance engagements </w:t>
      </w:r>
      <w:proofErr w:type="spellStart"/>
      <w:r w:rsidRPr="001F64D1">
        <w:rPr>
          <w:i/>
        </w:rPr>
        <w:t>other</w:t>
      </w:r>
      <w:proofErr w:type="spellEnd"/>
      <w:r w:rsidRPr="001F64D1">
        <w:rPr>
          <w:i/>
        </w:rPr>
        <w:t xml:space="preserve"> </w:t>
      </w:r>
      <w:proofErr w:type="spellStart"/>
      <w:r w:rsidRPr="001F64D1">
        <w:rPr>
          <w:i/>
        </w:rPr>
        <w:t>than</w:t>
      </w:r>
      <w:proofErr w:type="spellEnd"/>
      <w:r w:rsidRPr="001F64D1">
        <w:rPr>
          <w:i/>
        </w:rPr>
        <w:t xml:space="preserve"> audits or </w:t>
      </w:r>
      <w:proofErr w:type="spellStart"/>
      <w:r w:rsidRPr="001F64D1">
        <w:rPr>
          <w:i/>
        </w:rPr>
        <w:t>reviews</w:t>
      </w:r>
      <w:proofErr w:type="spellEnd"/>
      <w:r w:rsidRPr="001F64D1">
        <w:rPr>
          <w:i/>
        </w:rPr>
        <w:t xml:space="preserve"> of </w:t>
      </w:r>
      <w:proofErr w:type="spellStart"/>
      <w:r w:rsidRPr="001F64D1">
        <w:rPr>
          <w:i/>
        </w:rPr>
        <w:t>historical</w:t>
      </w:r>
      <w:proofErr w:type="spellEnd"/>
      <w:r w:rsidRPr="001F64D1">
        <w:rPr>
          <w:i/>
        </w:rPr>
        <w:t xml:space="preserve"> </w:t>
      </w:r>
      <w:proofErr w:type="spellStart"/>
      <w:r w:rsidRPr="001F64D1">
        <w:rPr>
          <w:i/>
        </w:rPr>
        <w:t>financial</w:t>
      </w:r>
      <w:proofErr w:type="spellEnd"/>
      <w:r w:rsidRPr="001F64D1">
        <w:rPr>
          <w:i/>
        </w:rPr>
        <w:t xml:space="preserve"> information </w:t>
      </w:r>
      <w:r w:rsidRPr="001F64D1">
        <w:t>(note de bas de page à conserver)</w:t>
      </w:r>
      <w:r>
        <w:t>.</w:t>
      </w:r>
    </w:p>
  </w:footnote>
  <w:footnote w:id="13">
    <w:p w14:paraId="768199D3" w14:textId="77777777" w:rsidR="00E36548" w:rsidRPr="001F64D1" w:rsidRDefault="00E36548" w:rsidP="00E36548">
      <w:pPr>
        <w:pStyle w:val="Notedebasdepage"/>
        <w:spacing w:after="20"/>
      </w:pPr>
      <w:r w:rsidRPr="001F64D1">
        <w:rPr>
          <w:rStyle w:val="Appelnotedebasdep"/>
        </w:rPr>
        <w:footnoteRef/>
      </w:r>
      <w:r w:rsidRPr="001F64D1">
        <w:t xml:space="preserve"> Lorsque l’OTI souhaite faire référence à l’ISAE 3000 dans son rapport</w:t>
      </w:r>
      <w:r>
        <w:t>.</w:t>
      </w:r>
    </w:p>
  </w:footnote>
  <w:footnote w:id="14">
    <w:p w14:paraId="64F725B1" w14:textId="6B5060E7" w:rsidR="00E36548" w:rsidRPr="001F64D1" w:rsidRDefault="00E36548" w:rsidP="00E36548">
      <w:pPr>
        <w:pStyle w:val="Notedebasdepage"/>
        <w:tabs>
          <w:tab w:val="left" w:pos="284"/>
        </w:tabs>
        <w:spacing w:after="20"/>
      </w:pPr>
      <w:r w:rsidRPr="001F64D1">
        <w:rPr>
          <w:rStyle w:val="Appelnotedebasdep"/>
        </w:rPr>
        <w:footnoteRef/>
      </w:r>
      <w:r w:rsidRPr="001F64D1">
        <w:t xml:space="preserve"> Signataire(s) compris et intervenant(s) impliqué(s) de manière significative</w:t>
      </w:r>
      <w:r>
        <w:t>.</w:t>
      </w:r>
    </w:p>
  </w:footnote>
  <w:footnote w:id="15">
    <w:p w14:paraId="786DE2D2" w14:textId="05A268BB" w:rsidR="00E36548" w:rsidRPr="001F64D1" w:rsidRDefault="00E36548" w:rsidP="00E36548">
      <w:pPr>
        <w:pStyle w:val="Notedebasdepage"/>
        <w:tabs>
          <w:tab w:val="left" w:pos="284"/>
        </w:tabs>
        <w:spacing w:after="20"/>
      </w:pPr>
      <w:r w:rsidRPr="001F64D1">
        <w:rPr>
          <w:rStyle w:val="Appelnotedebasdep"/>
        </w:rPr>
        <w:footnoteRef/>
      </w:r>
      <w:r w:rsidRPr="001F64D1">
        <w:t xml:space="preserve"> Indiquer le nombre de semaines d’exécution de la mission</w:t>
      </w:r>
      <w:r>
        <w:t>.</w:t>
      </w:r>
    </w:p>
  </w:footnote>
  <w:footnote w:id="16">
    <w:p w14:paraId="2AA3853B" w14:textId="42987AF7" w:rsidR="00E36548" w:rsidRPr="001F64D1" w:rsidRDefault="00E36548" w:rsidP="00E36548">
      <w:pPr>
        <w:pStyle w:val="Notedebasdepage"/>
        <w:spacing w:after="20"/>
        <w:ind w:left="284" w:hanging="284"/>
      </w:pPr>
      <w:r w:rsidRPr="001F64D1">
        <w:rPr>
          <w:rStyle w:val="Appelnotedebasdep"/>
        </w:rPr>
        <w:footnoteRef/>
      </w:r>
      <w:r w:rsidRPr="001F64D1">
        <w:t xml:space="preserve"> Précision à mentionner le cas échéant à la discrétion de l’OTI</w:t>
      </w:r>
      <w:r>
        <w:t>.</w:t>
      </w:r>
    </w:p>
  </w:footnote>
  <w:footnote w:id="17">
    <w:p w14:paraId="5E3AF47C" w14:textId="77777777" w:rsidR="00E36548" w:rsidRPr="001F64D1" w:rsidRDefault="00E36548" w:rsidP="00E36548">
      <w:pPr>
        <w:pStyle w:val="Notedebasdepage"/>
        <w:spacing w:after="60"/>
      </w:pPr>
      <w:r w:rsidRPr="001F64D1">
        <w:rPr>
          <w:rStyle w:val="Appelnotedebasdep"/>
        </w:rPr>
        <w:footnoteRef/>
      </w:r>
      <w:r w:rsidRPr="001F64D1">
        <w:t xml:space="preserve"> Lister les entités où des travaux ont été menés en local, dans le corps du texte, en note de bas de page ou en annexe du rapport</w:t>
      </w:r>
      <w:r>
        <w:t>.</w:t>
      </w:r>
    </w:p>
  </w:footnote>
  <w:footnote w:id="18">
    <w:p w14:paraId="16C220E6" w14:textId="77777777" w:rsidR="00E36548" w:rsidRPr="001F64D1" w:rsidRDefault="00E36548" w:rsidP="00E36548">
      <w:pPr>
        <w:pStyle w:val="Notedebasdepage"/>
        <w:spacing w:after="60"/>
      </w:pPr>
      <w:r w:rsidRPr="001F64D1">
        <w:rPr>
          <w:rStyle w:val="Appelnotedebasdep"/>
        </w:rPr>
        <w:footnoteRef/>
      </w:r>
      <w:r w:rsidRPr="001F64D1">
        <w:t xml:space="preserve"> Lister les informations quantitatives (indicateurs clés de performance et résultats), en note de bas de page ou en annexe du rapport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413D" w14:textId="739EB783" w:rsidR="007B772D" w:rsidRDefault="007B772D" w:rsidP="00392866">
    <w:r>
      <w:t>E</w:t>
    </w:r>
    <w:r w:rsidR="00EB09C8">
      <w:t>4</w:t>
    </w:r>
    <w:r>
      <w:t xml:space="preserve"> –</w:t>
    </w:r>
    <w:r w:rsidR="00EB09C8">
      <w:t xml:space="preserve"> </w:t>
    </w:r>
    <w:r w:rsidR="00EB09C8" w:rsidRPr="00EB09C8">
      <w:t>Exemple de rapport de l’un des commissaires aux comptes désigné OTI sur la déclaration de performance extra-financière figurant dans le rapport de gestion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74F6"/>
    <w:multiLevelType w:val="hybridMultilevel"/>
    <w:tmpl w:val="BF9E96FC"/>
    <w:lvl w:ilvl="0" w:tplc="8284686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18412CBC"/>
    <w:multiLevelType w:val="hybridMultilevel"/>
    <w:tmpl w:val="DB7E2984"/>
    <w:lvl w:ilvl="0" w:tplc="8BE663F2">
      <w:start w:val="1"/>
      <w:numFmt w:val="bullet"/>
      <w:lvlText w:val="­"/>
      <w:lvlJc w:val="left"/>
      <w:pPr>
        <w:ind w:left="720" w:hanging="360"/>
      </w:pPr>
      <w:rPr>
        <w:rFonts w:ascii="Times New Roman" w:hAnsi="Times New Roman" w:cs="Times New Roman"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000F87"/>
    <w:multiLevelType w:val="hybridMultilevel"/>
    <w:tmpl w:val="05C25ADE"/>
    <w:lvl w:ilvl="0" w:tplc="7542F82A">
      <w:start w:val="1"/>
      <w:numFmt w:val="bullet"/>
      <w:lvlText w:val=""/>
      <w:lvlJc w:val="left"/>
      <w:pPr>
        <w:tabs>
          <w:tab w:val="num" w:pos="284"/>
        </w:tabs>
        <w:ind w:left="284" w:hanging="284"/>
      </w:pPr>
      <w:rPr>
        <w:rFonts w:ascii="Symbol" w:hAnsi="Symbol" w:hint="default"/>
        <w:b w:val="0"/>
        <w:i w:val="0"/>
        <w:color w:val="auto"/>
        <w:sz w:val="18"/>
      </w:rPr>
    </w:lvl>
    <w:lvl w:ilvl="1" w:tplc="807A3502">
      <w:start w:val="1"/>
      <w:numFmt w:val="bullet"/>
      <w:lvlText w:val=""/>
      <w:lvlJc w:val="left"/>
      <w:pPr>
        <w:ind w:left="1440" w:hanging="360"/>
      </w:pPr>
      <w:rPr>
        <w:rFonts w:ascii="Symbol" w:hAnsi="Symbol"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35F01FD"/>
    <w:multiLevelType w:val="hybridMultilevel"/>
    <w:tmpl w:val="9118EAB6"/>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417978"/>
    <w:multiLevelType w:val="hybridMultilevel"/>
    <w:tmpl w:val="AB905C4A"/>
    <w:lvl w:ilvl="0" w:tplc="8284686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2236ED6"/>
    <w:multiLevelType w:val="hybridMultilevel"/>
    <w:tmpl w:val="27229E24"/>
    <w:lvl w:ilvl="0" w:tplc="7542F82A">
      <w:start w:val="1"/>
      <w:numFmt w:val="bullet"/>
      <w:lvlText w:val=""/>
      <w:lvlJc w:val="left"/>
      <w:pPr>
        <w:ind w:left="360" w:hanging="360"/>
      </w:pPr>
      <w:rPr>
        <w:rFonts w:ascii="Symbol" w:hAnsi="Symbol"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425204D8"/>
    <w:multiLevelType w:val="hybridMultilevel"/>
    <w:tmpl w:val="36862698"/>
    <w:lvl w:ilvl="0" w:tplc="ADBA3C7A">
      <w:start w:val="1"/>
      <w:numFmt w:val="bullet"/>
      <w:pStyle w:val="Bullet"/>
      <w:lvlText w:val=""/>
      <w:lvlJc w:val="left"/>
      <w:pPr>
        <w:tabs>
          <w:tab w:val="num" w:pos="284"/>
        </w:tabs>
        <w:ind w:left="284" w:hanging="284"/>
      </w:pPr>
      <w:rPr>
        <w:rFonts w:ascii="Symbol" w:hAnsi="Symbol"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1268D2"/>
    <w:multiLevelType w:val="hybridMultilevel"/>
    <w:tmpl w:val="3F7E4804"/>
    <w:lvl w:ilvl="0" w:tplc="7542F82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F091A37"/>
    <w:multiLevelType w:val="hybridMultilevel"/>
    <w:tmpl w:val="247E3AA4"/>
    <w:lvl w:ilvl="0" w:tplc="7542F82A">
      <w:start w:val="1"/>
      <w:numFmt w:val="bullet"/>
      <w:lvlText w:val=""/>
      <w:lvlJc w:val="left"/>
      <w:pPr>
        <w:tabs>
          <w:tab w:val="num" w:pos="284"/>
        </w:tabs>
        <w:ind w:left="284" w:hanging="284"/>
      </w:pPr>
      <w:rPr>
        <w:rFonts w:ascii="Symbol" w:hAnsi="Symbol" w:hint="default"/>
        <w:b w:val="0"/>
        <w:i w:val="0"/>
        <w:color w:val="auto"/>
        <w:sz w:val="18"/>
      </w:rPr>
    </w:lvl>
    <w:lvl w:ilvl="1" w:tplc="FBAC82CE">
      <w:start w:val="1"/>
      <w:numFmt w:val="bullet"/>
      <w:lvlText w:val=""/>
      <w:lvlJc w:val="left"/>
      <w:pPr>
        <w:ind w:left="1440" w:hanging="360"/>
      </w:pPr>
      <w:rPr>
        <w:rFonts w:ascii="Symbol" w:hAnsi="Symbol" w:hint="default"/>
        <w:sz w:val="18"/>
        <w:szCs w:val="18"/>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52440C"/>
    <w:multiLevelType w:val="hybridMultilevel"/>
    <w:tmpl w:val="8820A442"/>
    <w:lvl w:ilvl="0" w:tplc="7542F82A">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751A4295"/>
    <w:multiLevelType w:val="hybridMultilevel"/>
    <w:tmpl w:val="198A0AB8"/>
    <w:lvl w:ilvl="0" w:tplc="040C0001">
      <w:start w:val="1"/>
      <w:numFmt w:val="bullet"/>
      <w:lvlText w:val=""/>
      <w:lvlJc w:val="left"/>
      <w:pPr>
        <w:tabs>
          <w:tab w:val="num" w:pos="568"/>
        </w:tabs>
        <w:ind w:left="568" w:hanging="284"/>
      </w:pPr>
      <w:rPr>
        <w:rFonts w:ascii="Symbol" w:hAnsi="Symbol" w:hint="default"/>
        <w:b w:val="0"/>
        <w:i w:val="0"/>
        <w:color w:val="auto"/>
        <w:sz w:val="18"/>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7A211F50"/>
    <w:multiLevelType w:val="multilevel"/>
    <w:tmpl w:val="F206615C"/>
    <w:lvl w:ilvl="0">
      <w:start w:val="1"/>
      <w:numFmt w:val="decimal"/>
      <w:pStyle w:val="Titre1"/>
      <w:lvlText w:val="%1"/>
      <w:lvlJc w:val="left"/>
      <w:pPr>
        <w:ind w:left="432" w:hanging="432"/>
      </w:pPr>
      <w:rPr>
        <w:rFonts w:hint="default"/>
      </w:rPr>
    </w:lvl>
    <w:lvl w:ilvl="1">
      <w:start w:val="1"/>
      <w:numFmt w:val="decimal"/>
      <w:pStyle w:val="Titre2"/>
      <w:lvlText w:val="%1.%2"/>
      <w:lvlJc w:val="left"/>
      <w:pPr>
        <w:ind w:left="1144" w:hanging="576"/>
      </w:pPr>
      <w:rPr>
        <w:rFonts w:hint="default"/>
        <w:b w:val="0"/>
      </w:rPr>
    </w:lvl>
    <w:lvl w:ilvl="2">
      <w:start w:val="1"/>
      <w:numFmt w:val="decimal"/>
      <w:pStyle w:val="Titre3"/>
      <w:lvlText w:val="%1.%2%3"/>
      <w:lvlJc w:val="left"/>
      <w:pPr>
        <w:ind w:left="1430" w:hanging="720"/>
      </w:pPr>
      <w:rPr>
        <w:rFonts w:hint="default"/>
      </w:rPr>
    </w:lvl>
    <w:lvl w:ilvl="3">
      <w:start w:val="1"/>
      <w:numFmt w:val="decimal"/>
      <w:pStyle w:val="Titre4"/>
      <w:lvlText w:val="%1.%2%3.%4"/>
      <w:lvlJc w:val="left"/>
      <w:pPr>
        <w:ind w:left="1290"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16cid:durableId="533538084">
    <w:abstractNumId w:val="11"/>
  </w:num>
  <w:num w:numId="2" w16cid:durableId="1340932667">
    <w:abstractNumId w:val="6"/>
  </w:num>
  <w:num w:numId="3" w16cid:durableId="1113981830">
    <w:abstractNumId w:val="3"/>
  </w:num>
  <w:num w:numId="4" w16cid:durableId="1730806664">
    <w:abstractNumId w:val="5"/>
  </w:num>
  <w:num w:numId="5" w16cid:durableId="673382620">
    <w:abstractNumId w:val="8"/>
  </w:num>
  <w:num w:numId="6" w16cid:durableId="749305585">
    <w:abstractNumId w:val="7"/>
  </w:num>
  <w:num w:numId="7" w16cid:durableId="729771011">
    <w:abstractNumId w:val="10"/>
  </w:num>
  <w:num w:numId="8" w16cid:durableId="96799846">
    <w:abstractNumId w:val="9"/>
  </w:num>
  <w:num w:numId="9" w16cid:durableId="1535581417">
    <w:abstractNumId w:val="1"/>
  </w:num>
  <w:num w:numId="10" w16cid:durableId="1309626548">
    <w:abstractNumId w:val="2"/>
  </w:num>
  <w:num w:numId="11" w16cid:durableId="1632662169">
    <w:abstractNumId w:val="4"/>
  </w:num>
  <w:num w:numId="12" w16cid:durableId="886643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2D"/>
    <w:rsid w:val="000528BA"/>
    <w:rsid w:val="000C112E"/>
    <w:rsid w:val="001675BD"/>
    <w:rsid w:val="00295A81"/>
    <w:rsid w:val="003646C8"/>
    <w:rsid w:val="00392866"/>
    <w:rsid w:val="003F2301"/>
    <w:rsid w:val="004C2D01"/>
    <w:rsid w:val="00550D61"/>
    <w:rsid w:val="007B772D"/>
    <w:rsid w:val="008C28E7"/>
    <w:rsid w:val="00916200"/>
    <w:rsid w:val="00963867"/>
    <w:rsid w:val="00963874"/>
    <w:rsid w:val="00A4799B"/>
    <w:rsid w:val="00AC75DD"/>
    <w:rsid w:val="00C437C7"/>
    <w:rsid w:val="00C510F3"/>
    <w:rsid w:val="00CC26FF"/>
    <w:rsid w:val="00E36548"/>
    <w:rsid w:val="00EB09C8"/>
    <w:rsid w:val="00F10E94"/>
    <w:rsid w:val="00F4593D"/>
    <w:rsid w:val="00F45DB3"/>
    <w:rsid w:val="00F62F8E"/>
    <w:rsid w:val="00FA14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F1FC"/>
  <w15:chartTrackingRefBased/>
  <w15:docId w15:val="{064ED143-1CB2-424E-85BF-D1598485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2D"/>
    <w:pPr>
      <w:spacing w:before="100" w:beforeAutospacing="1" w:after="100" w:afterAutospacing="1" w:line="240" w:lineRule="auto"/>
      <w:jc w:val="both"/>
    </w:pPr>
    <w:rPr>
      <w:rFonts w:ascii="Times New Roman" w:eastAsia="Times New Roman" w:hAnsi="Times New Roman" w:cs="Times New Roman"/>
      <w:szCs w:val="20"/>
    </w:rPr>
  </w:style>
  <w:style w:type="paragraph" w:styleId="Titre1">
    <w:name w:val="heading 1"/>
    <w:basedOn w:val="Normal"/>
    <w:next w:val="Normal"/>
    <w:link w:val="Titre1Car"/>
    <w:qFormat/>
    <w:rsid w:val="007B772D"/>
    <w:pPr>
      <w:keepNext/>
      <w:numPr>
        <w:numId w:val="1"/>
      </w:numPr>
      <w:pBdr>
        <w:bottom w:val="single" w:sz="4" w:space="1" w:color="1F497D"/>
      </w:pBdr>
      <w:spacing w:before="120" w:beforeAutospacing="0" w:after="120" w:afterAutospacing="0"/>
      <w:outlineLvl w:val="0"/>
    </w:pPr>
    <w:rPr>
      <w:rFonts w:eastAsia="MS Mincho" w:cs="Arial"/>
      <w:bCs/>
      <w:iCs/>
      <w:caps/>
      <w:color w:val="000080"/>
      <w:kern w:val="32"/>
      <w:szCs w:val="32"/>
      <w:lang w:eastAsia="fr-FR"/>
    </w:rPr>
  </w:style>
  <w:style w:type="paragraph" w:styleId="Titre2">
    <w:name w:val="heading 2"/>
    <w:basedOn w:val="Normal"/>
    <w:next w:val="Normal"/>
    <w:link w:val="Titre2Car"/>
    <w:qFormat/>
    <w:rsid w:val="007B772D"/>
    <w:pPr>
      <w:keepNext/>
      <w:keepLines/>
      <w:numPr>
        <w:ilvl w:val="1"/>
        <w:numId w:val="1"/>
      </w:numPr>
      <w:spacing w:before="120" w:beforeAutospacing="0" w:after="120" w:afterAutospacing="0"/>
      <w:outlineLvl w:val="1"/>
    </w:pPr>
    <w:rPr>
      <w:rFonts w:eastAsiaTheme="majorEastAsia" w:cstheme="majorBidi"/>
      <w:bCs/>
      <w:iCs/>
      <w:szCs w:val="26"/>
    </w:rPr>
  </w:style>
  <w:style w:type="paragraph" w:styleId="Titre3">
    <w:name w:val="heading 3"/>
    <w:basedOn w:val="Normal"/>
    <w:next w:val="Normal"/>
    <w:link w:val="Titre3Car"/>
    <w:qFormat/>
    <w:rsid w:val="007B772D"/>
    <w:pPr>
      <w:keepNext/>
      <w:numPr>
        <w:ilvl w:val="2"/>
        <w:numId w:val="1"/>
      </w:numPr>
      <w:spacing w:before="240" w:after="60"/>
      <w:ind w:left="720"/>
      <w:outlineLvl w:val="2"/>
    </w:pPr>
    <w:rPr>
      <w:rFonts w:cs="Arial"/>
      <w:bCs/>
      <w:color w:val="000080"/>
      <w:szCs w:val="26"/>
    </w:rPr>
  </w:style>
  <w:style w:type="paragraph" w:styleId="Titre4">
    <w:name w:val="heading 4"/>
    <w:basedOn w:val="Normal"/>
    <w:next w:val="Normal"/>
    <w:link w:val="Titre4Car"/>
    <w:qFormat/>
    <w:rsid w:val="007B772D"/>
    <w:pPr>
      <w:keepNext/>
      <w:numPr>
        <w:ilvl w:val="3"/>
        <w:numId w:val="1"/>
      </w:numPr>
      <w:spacing w:before="120" w:beforeAutospacing="0" w:after="120" w:afterAutospacing="0"/>
      <w:ind w:left="2141"/>
      <w:outlineLvl w:val="3"/>
    </w:pPr>
    <w:rPr>
      <w:b/>
      <w:bCs/>
      <w:i/>
      <w:iCs/>
      <w:szCs w:val="28"/>
      <w:lang w:eastAsia="fr-FR"/>
    </w:rPr>
  </w:style>
  <w:style w:type="paragraph" w:styleId="Titre8">
    <w:name w:val="heading 8"/>
    <w:basedOn w:val="Normal"/>
    <w:next w:val="Normal"/>
    <w:link w:val="Titre8Car"/>
    <w:uiPriority w:val="9"/>
    <w:unhideWhenUsed/>
    <w:qFormat/>
    <w:rsid w:val="007B772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nhideWhenUsed/>
    <w:qFormat/>
    <w:rsid w:val="007B772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ARM footnote Text,Footnote Text Char2,Footnote Text Char11,Footnote Text Char3,Footnote Text Char4,Footnote Text Char5,Footnote Text Char6,Footnote Text Char12,Footnote Text Char21,Footnote New, Char, Cha,C,Char,Cha"/>
    <w:basedOn w:val="Normal"/>
    <w:link w:val="NotedebasdepageCar"/>
    <w:rsid w:val="007B772D"/>
    <w:pPr>
      <w:spacing w:before="0" w:beforeAutospacing="0" w:after="0" w:afterAutospacing="0"/>
    </w:pPr>
    <w:rPr>
      <w:iCs/>
      <w:sz w:val="20"/>
    </w:rPr>
  </w:style>
  <w:style w:type="character" w:customStyle="1" w:styleId="NotedebasdepageCar">
    <w:name w:val="Note de bas de page Car"/>
    <w:aliases w:val="ARM footnote Text Car,Footnote Text Char2 Car,Footnote Text Char11 Car,Footnote Text Char3 Car,Footnote Text Char4 Car,Footnote Text Char5 Car,Footnote Text Char6 Car,Footnote Text Char12 Car,Footnote Text Char21 Car, Char Car"/>
    <w:basedOn w:val="Policepardfaut"/>
    <w:link w:val="Notedebasdepage"/>
    <w:rsid w:val="007B772D"/>
    <w:rPr>
      <w:rFonts w:ascii="Times New Roman" w:eastAsia="Times New Roman" w:hAnsi="Times New Roman" w:cs="Times New Roman"/>
      <w:iCs/>
      <w:sz w:val="20"/>
      <w:szCs w:val="20"/>
    </w:rPr>
  </w:style>
  <w:style w:type="character" w:styleId="Appelnotedebasdep">
    <w:name w:val="footnote reference"/>
    <w:aliases w:val="Footnote reference number,Footnote symbol,note TESI,Footnote Reference"/>
    <w:basedOn w:val="Policepardfaut"/>
    <w:rsid w:val="007B772D"/>
    <w:rPr>
      <w:vertAlign w:val="superscript"/>
    </w:rPr>
  </w:style>
  <w:style w:type="paragraph" w:styleId="Sansinterligne">
    <w:name w:val="No Spacing"/>
    <w:uiPriority w:val="1"/>
    <w:qFormat/>
    <w:rsid w:val="007B772D"/>
    <w:pPr>
      <w:spacing w:after="0" w:line="240" w:lineRule="auto"/>
    </w:pPr>
  </w:style>
  <w:style w:type="paragraph" w:styleId="En-tte">
    <w:name w:val="header"/>
    <w:basedOn w:val="Normal"/>
    <w:link w:val="En-tteCar"/>
    <w:uiPriority w:val="99"/>
    <w:unhideWhenUsed/>
    <w:rsid w:val="007B772D"/>
    <w:pPr>
      <w:tabs>
        <w:tab w:val="center" w:pos="4536"/>
        <w:tab w:val="right" w:pos="9072"/>
      </w:tabs>
      <w:spacing w:before="0" w:after="0"/>
    </w:pPr>
  </w:style>
  <w:style w:type="character" w:customStyle="1" w:styleId="En-tteCar">
    <w:name w:val="En-tête Car"/>
    <w:basedOn w:val="Policepardfaut"/>
    <w:link w:val="En-tte"/>
    <w:uiPriority w:val="99"/>
    <w:rsid w:val="007B772D"/>
    <w:rPr>
      <w:rFonts w:ascii="Times New Roman" w:eastAsia="Times New Roman" w:hAnsi="Times New Roman" w:cs="Times New Roman"/>
      <w:szCs w:val="20"/>
    </w:rPr>
  </w:style>
  <w:style w:type="paragraph" w:styleId="Pieddepage">
    <w:name w:val="footer"/>
    <w:basedOn w:val="Normal"/>
    <w:link w:val="PieddepageCar"/>
    <w:uiPriority w:val="99"/>
    <w:unhideWhenUsed/>
    <w:rsid w:val="007B772D"/>
    <w:pPr>
      <w:tabs>
        <w:tab w:val="center" w:pos="4536"/>
        <w:tab w:val="right" w:pos="9072"/>
      </w:tabs>
      <w:spacing w:before="0" w:after="0"/>
    </w:pPr>
  </w:style>
  <w:style w:type="character" w:customStyle="1" w:styleId="PieddepageCar">
    <w:name w:val="Pied de page Car"/>
    <w:basedOn w:val="Policepardfaut"/>
    <w:link w:val="Pieddepage"/>
    <w:uiPriority w:val="99"/>
    <w:rsid w:val="007B772D"/>
    <w:rPr>
      <w:rFonts w:ascii="Times New Roman" w:eastAsia="Times New Roman" w:hAnsi="Times New Roman" w:cs="Times New Roman"/>
      <w:szCs w:val="20"/>
    </w:rPr>
  </w:style>
  <w:style w:type="character" w:customStyle="1" w:styleId="Titre1Car">
    <w:name w:val="Titre 1 Car"/>
    <w:basedOn w:val="Policepardfaut"/>
    <w:link w:val="Titre1"/>
    <w:rsid w:val="007B772D"/>
    <w:rPr>
      <w:rFonts w:ascii="Times New Roman" w:eastAsia="MS Mincho" w:hAnsi="Times New Roman" w:cs="Arial"/>
      <w:bCs/>
      <w:iCs/>
      <w:caps/>
      <w:color w:val="000080"/>
      <w:kern w:val="32"/>
      <w:szCs w:val="32"/>
      <w:lang w:eastAsia="fr-FR"/>
    </w:rPr>
  </w:style>
  <w:style w:type="character" w:customStyle="1" w:styleId="Titre2Car">
    <w:name w:val="Titre 2 Car"/>
    <w:basedOn w:val="Policepardfaut"/>
    <w:link w:val="Titre2"/>
    <w:rsid w:val="007B772D"/>
    <w:rPr>
      <w:rFonts w:ascii="Times New Roman" w:eastAsiaTheme="majorEastAsia" w:hAnsi="Times New Roman" w:cstheme="majorBidi"/>
      <w:bCs/>
      <w:iCs/>
      <w:szCs w:val="26"/>
    </w:rPr>
  </w:style>
  <w:style w:type="character" w:customStyle="1" w:styleId="Titre3Car">
    <w:name w:val="Titre 3 Car"/>
    <w:basedOn w:val="Policepardfaut"/>
    <w:link w:val="Titre3"/>
    <w:rsid w:val="007B772D"/>
    <w:rPr>
      <w:rFonts w:ascii="Times New Roman" w:eastAsia="Times New Roman" w:hAnsi="Times New Roman" w:cs="Arial"/>
      <w:bCs/>
      <w:color w:val="000080"/>
      <w:szCs w:val="26"/>
    </w:rPr>
  </w:style>
  <w:style w:type="character" w:customStyle="1" w:styleId="Titre4Car">
    <w:name w:val="Titre 4 Car"/>
    <w:basedOn w:val="Policepardfaut"/>
    <w:link w:val="Titre4"/>
    <w:rsid w:val="007B772D"/>
    <w:rPr>
      <w:rFonts w:ascii="Times New Roman" w:eastAsia="Times New Roman" w:hAnsi="Times New Roman" w:cs="Times New Roman"/>
      <w:b/>
      <w:bCs/>
      <w:i/>
      <w:iCs/>
      <w:szCs w:val="28"/>
      <w:lang w:eastAsia="fr-FR"/>
    </w:rPr>
  </w:style>
  <w:style w:type="character" w:customStyle="1" w:styleId="Titre8Car">
    <w:name w:val="Titre 8 Car"/>
    <w:basedOn w:val="Policepardfaut"/>
    <w:link w:val="Titre8"/>
    <w:uiPriority w:val="9"/>
    <w:rsid w:val="007B772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7B772D"/>
    <w:rPr>
      <w:rFonts w:asciiTheme="majorHAnsi" w:eastAsiaTheme="majorEastAsia" w:hAnsiTheme="majorHAnsi" w:cstheme="majorBidi"/>
      <w:i/>
      <w:iCs/>
      <w:color w:val="404040" w:themeColor="text1" w:themeTint="BF"/>
      <w:sz w:val="20"/>
      <w:szCs w:val="20"/>
    </w:rPr>
  </w:style>
  <w:style w:type="paragraph" w:styleId="Commentaire">
    <w:name w:val="annotation text"/>
    <w:basedOn w:val="Normal"/>
    <w:link w:val="CommentaireCar"/>
    <w:uiPriority w:val="99"/>
    <w:unhideWhenUsed/>
    <w:rsid w:val="00963874"/>
    <w:rPr>
      <w:sz w:val="20"/>
    </w:rPr>
  </w:style>
  <w:style w:type="character" w:customStyle="1" w:styleId="CommentaireCar">
    <w:name w:val="Commentaire Car"/>
    <w:basedOn w:val="Policepardfaut"/>
    <w:link w:val="Commentaire"/>
    <w:uiPriority w:val="99"/>
    <w:rsid w:val="00963874"/>
    <w:rPr>
      <w:rFonts w:ascii="Times New Roman" w:eastAsia="Times New Roman" w:hAnsi="Times New Roman" w:cs="Times New Roman"/>
      <w:sz w:val="20"/>
      <w:szCs w:val="20"/>
    </w:rPr>
  </w:style>
  <w:style w:type="table" w:styleId="Grilledutableau">
    <w:name w:val="Table Grid"/>
    <w:basedOn w:val="TableauNormal"/>
    <w:uiPriority w:val="39"/>
    <w:rsid w:val="00963874"/>
    <w:pPr>
      <w:spacing w:before="100" w:beforeAutospacing="1" w:after="100" w:afterAutospacing="1"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963874"/>
    <w:pPr>
      <w:keepLines/>
      <w:numPr>
        <w:numId w:val="2"/>
      </w:numPr>
      <w:overflowPunct w:val="0"/>
      <w:autoSpaceDE w:val="0"/>
      <w:autoSpaceDN w:val="0"/>
      <w:adjustRightInd w:val="0"/>
      <w:spacing w:before="0" w:beforeAutospacing="0" w:after="240" w:afterAutospacing="0" w:line="260" w:lineRule="exact"/>
      <w:jc w:val="left"/>
      <w:textAlignment w:val="baseline"/>
    </w:pPr>
    <w:rPr>
      <w:rFonts w:ascii="EYInterstate Light" w:hAnsi="EYInterstate Light"/>
      <w:iCs/>
      <w:kern w:val="12"/>
      <w:sz w:val="20"/>
      <w:szCs w:val="18"/>
    </w:rPr>
  </w:style>
  <w:style w:type="character" w:customStyle="1" w:styleId="BulletChar">
    <w:name w:val="Bullet Char"/>
    <w:basedOn w:val="Policepardfaut"/>
    <w:link w:val="Bullet"/>
    <w:rsid w:val="00963874"/>
    <w:rPr>
      <w:rFonts w:ascii="EYInterstate Light" w:eastAsia="Times New Roman" w:hAnsi="EYInterstate Light" w:cs="Times New Roman"/>
      <w:iCs/>
      <w:kern w:val="12"/>
      <w:sz w:val="20"/>
      <w:szCs w:val="18"/>
    </w:rPr>
  </w:style>
  <w:style w:type="character" w:styleId="Lienhypertexte">
    <w:name w:val="Hyperlink"/>
    <w:basedOn w:val="Policepardfaut"/>
    <w:uiPriority w:val="99"/>
    <w:rsid w:val="00E36548"/>
    <w:rPr>
      <w:color w:val="0000FF"/>
      <w:u w:val="single"/>
    </w:rPr>
  </w:style>
  <w:style w:type="paragraph" w:customStyle="1" w:styleId="Texte">
    <w:name w:val="Texte"/>
    <w:basedOn w:val="Normal"/>
    <w:link w:val="TexteChar"/>
    <w:rsid w:val="00E36548"/>
    <w:pPr>
      <w:keepLines/>
      <w:overflowPunct w:val="0"/>
      <w:autoSpaceDE w:val="0"/>
      <w:autoSpaceDN w:val="0"/>
      <w:adjustRightInd w:val="0"/>
      <w:spacing w:before="0" w:beforeAutospacing="0" w:after="240" w:afterAutospacing="0" w:line="260" w:lineRule="exact"/>
      <w:jc w:val="left"/>
      <w:textAlignment w:val="baseline"/>
    </w:pPr>
    <w:rPr>
      <w:rFonts w:ascii="EYInterstate Light" w:hAnsi="EYInterstate Light"/>
      <w:iCs/>
      <w:kern w:val="12"/>
      <w:sz w:val="20"/>
      <w:szCs w:val="18"/>
    </w:rPr>
  </w:style>
  <w:style w:type="character" w:customStyle="1" w:styleId="TexteChar">
    <w:name w:val="Texte Char"/>
    <w:basedOn w:val="Policepardfaut"/>
    <w:link w:val="Texte"/>
    <w:locked/>
    <w:rsid w:val="00E36548"/>
    <w:rPr>
      <w:rFonts w:ascii="EYInterstate Light" w:eastAsia="Times New Roman" w:hAnsi="EYInterstate Light" w:cs="Times New Roman"/>
      <w:iCs/>
      <w:kern w:val="12"/>
      <w:sz w:val="20"/>
      <w:szCs w:val="18"/>
    </w:rPr>
  </w:style>
  <w:style w:type="paragraph" w:styleId="Paragraphedeliste">
    <w:name w:val="List Paragraph"/>
    <w:basedOn w:val="Normal"/>
    <w:link w:val="ParagraphedelisteCar"/>
    <w:uiPriority w:val="34"/>
    <w:qFormat/>
    <w:rsid w:val="00E36548"/>
    <w:pPr>
      <w:ind w:left="720"/>
      <w:contextualSpacing/>
    </w:pPr>
  </w:style>
  <w:style w:type="paragraph" w:customStyle="1" w:styleId="Default">
    <w:name w:val="Default"/>
    <w:rsid w:val="00E36548"/>
    <w:pPr>
      <w:autoSpaceDE w:val="0"/>
      <w:autoSpaceDN w:val="0"/>
      <w:adjustRightInd w:val="0"/>
      <w:spacing w:after="0" w:line="240" w:lineRule="auto"/>
    </w:pPr>
    <w:rPr>
      <w:rFonts w:ascii="Georgia" w:hAnsi="Georgia" w:cs="Georgia"/>
      <w:color w:val="000000"/>
      <w:sz w:val="24"/>
      <w:szCs w:val="24"/>
    </w:rPr>
  </w:style>
  <w:style w:type="character" w:customStyle="1" w:styleId="ParagraphedelisteCar">
    <w:name w:val="Paragraphe de liste Car"/>
    <w:basedOn w:val="Policepardfaut"/>
    <w:link w:val="Paragraphedeliste"/>
    <w:uiPriority w:val="34"/>
    <w:rsid w:val="00E36548"/>
    <w:rPr>
      <w:rFonts w:ascii="Times New Roman" w:eastAsia="Times New Roman" w:hAnsi="Times New Roman" w:cs="Times New Roman"/>
      <w:szCs w:val="20"/>
    </w:rPr>
  </w:style>
  <w:style w:type="paragraph" w:customStyle="1" w:styleId="TitreI">
    <w:name w:val="Titre I"/>
    <w:basedOn w:val="Normal"/>
    <w:rsid w:val="00E36548"/>
    <w:pPr>
      <w:keepNext/>
      <w:keepLines/>
      <w:overflowPunct w:val="0"/>
      <w:autoSpaceDE w:val="0"/>
      <w:autoSpaceDN w:val="0"/>
      <w:adjustRightInd w:val="0"/>
      <w:spacing w:before="480" w:beforeAutospacing="0" w:after="240" w:afterAutospacing="0" w:line="240" w:lineRule="exact"/>
      <w:ind w:left="567" w:hanging="567"/>
      <w:jc w:val="left"/>
      <w:textAlignment w:val="baseline"/>
    </w:pPr>
    <w:rPr>
      <w:rFonts w:ascii="EYInterstate" w:hAnsi="EYInterstate"/>
      <w:b/>
      <w:sz w:val="20"/>
      <w:szCs w:val="18"/>
    </w:rPr>
  </w:style>
  <w:style w:type="paragraph" w:customStyle="1" w:styleId="TexteGrasItalic">
    <w:name w:val="Texte Gras Italic"/>
    <w:basedOn w:val="Texte"/>
    <w:next w:val="Texte"/>
    <w:rsid w:val="00E36548"/>
    <w:pPr>
      <w:keepNext/>
    </w:pPr>
    <w:rPr>
      <w:b/>
      <w:i/>
      <w:iCs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56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frac.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2244</Words>
  <Characters>12346</Characters>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2023-06-22T10:14:00Z</cp:lastPrinted>
  <dcterms:created xsi:type="dcterms:W3CDTF">2023-06-15T14:18:00Z</dcterms:created>
  <dcterms:modified xsi:type="dcterms:W3CDTF">2023-06-22T13:14:00Z</dcterms:modified>
</cp:coreProperties>
</file>