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16479" w14:textId="77777777" w:rsidR="00E22005" w:rsidRPr="001F7DE2" w:rsidRDefault="00E22005" w:rsidP="00E22005">
      <w:pPr>
        <w:spacing w:line="280" w:lineRule="exact"/>
        <w:rPr>
          <w:szCs w:val="22"/>
        </w:rPr>
      </w:pPr>
      <w:r w:rsidRPr="001153B2">
        <w:rPr>
          <w:szCs w:val="22"/>
        </w:rPr>
        <w:t xml:space="preserve">Nom </w:t>
      </w:r>
      <w:r w:rsidRPr="001F7DE2">
        <w:rPr>
          <w:szCs w:val="22"/>
        </w:rPr>
        <w:t>d</w:t>
      </w:r>
      <w:r>
        <w:rPr>
          <w:szCs w:val="22"/>
        </w:rPr>
        <w:t>u</w:t>
      </w:r>
      <w:r w:rsidRPr="001F7DE2">
        <w:rPr>
          <w:szCs w:val="22"/>
        </w:rPr>
        <w:t xml:space="preserve"> Cabinet ou d</w:t>
      </w:r>
      <w:r>
        <w:rPr>
          <w:szCs w:val="22"/>
        </w:rPr>
        <w:t>u</w:t>
      </w:r>
      <w:r w:rsidRPr="001F7DE2">
        <w:rPr>
          <w:szCs w:val="22"/>
        </w:rPr>
        <w:t xml:space="preserve"> commissaire aux comptes titulaire du mandat, désigné organisme tiers indépendant</w:t>
      </w:r>
    </w:p>
    <w:p w14:paraId="5CA827A2" w14:textId="77777777" w:rsidR="00E22005" w:rsidRPr="001F7DE2" w:rsidRDefault="00E22005" w:rsidP="00E22005">
      <w:pPr>
        <w:spacing w:line="280" w:lineRule="exact"/>
        <w:rPr>
          <w:i/>
          <w:spacing w:val="-2"/>
          <w:szCs w:val="22"/>
        </w:rPr>
      </w:pPr>
      <w:r w:rsidRPr="001F7DE2">
        <w:rPr>
          <w:i/>
          <w:spacing w:val="-2"/>
          <w:szCs w:val="22"/>
        </w:rPr>
        <w:t>Adresse</w:t>
      </w:r>
    </w:p>
    <w:p w14:paraId="3A055C1A" w14:textId="77777777" w:rsidR="00E22005" w:rsidRPr="001F7DE2" w:rsidRDefault="00E22005" w:rsidP="00E22005">
      <w:pPr>
        <w:spacing w:line="280" w:lineRule="exact"/>
        <w:rPr>
          <w:szCs w:val="22"/>
        </w:rPr>
      </w:pPr>
      <w:r w:rsidRPr="001F7DE2">
        <w:rPr>
          <w:spacing w:val="-2"/>
          <w:szCs w:val="22"/>
        </w:rPr>
        <w:t>[Date]</w:t>
      </w:r>
      <w:r w:rsidRPr="001F7DE2">
        <w:rPr>
          <w:rStyle w:val="Appelnotedebasdep"/>
          <w:spacing w:val="-2"/>
          <w:szCs w:val="22"/>
        </w:rPr>
        <w:footnoteReference w:id="1"/>
      </w:r>
    </w:p>
    <w:p w14:paraId="7AAB1AA6" w14:textId="77777777" w:rsidR="00E22005" w:rsidRPr="001F7DE2" w:rsidRDefault="00E22005" w:rsidP="00E22005">
      <w:pPr>
        <w:spacing w:line="280" w:lineRule="exact"/>
        <w:rPr>
          <w:szCs w:val="22"/>
        </w:rPr>
      </w:pPr>
      <w:r w:rsidRPr="442E6D0A">
        <w:rPr>
          <w:szCs w:val="22"/>
        </w:rPr>
        <w:t>Exercice clos le …</w:t>
      </w:r>
    </w:p>
    <w:p w14:paraId="112A3DE8" w14:textId="77777777" w:rsidR="00E22005" w:rsidRPr="001F7DE2" w:rsidRDefault="00E22005" w:rsidP="00E22005">
      <w:pPr>
        <w:spacing w:after="0" w:afterAutospacing="0" w:line="280" w:lineRule="exact"/>
        <w:rPr>
          <w:szCs w:val="22"/>
        </w:rPr>
      </w:pPr>
      <w:r w:rsidRPr="442E6D0A">
        <w:rPr>
          <w:szCs w:val="22"/>
        </w:rPr>
        <w:t>Madame, Monsieur,</w:t>
      </w:r>
    </w:p>
    <w:p w14:paraId="1C959A77" w14:textId="77777777" w:rsidR="00E22005" w:rsidRPr="009C3BCB" w:rsidRDefault="00E22005" w:rsidP="00E22005">
      <w:pPr>
        <w:spacing w:before="120" w:beforeAutospacing="0" w:after="0" w:afterAutospacing="0"/>
        <w:ind w:right="45"/>
        <w:rPr>
          <w:color w:val="000000" w:themeColor="text1"/>
        </w:rPr>
      </w:pPr>
      <w:r w:rsidRPr="442E6D0A">
        <w:rPr>
          <w:color w:val="000000" w:themeColor="text1"/>
          <w:szCs w:val="22"/>
        </w:rPr>
        <w:t>Cette lettre vous est adressée</w:t>
      </w:r>
      <w:r>
        <w:rPr>
          <w:color w:val="000000" w:themeColor="text1"/>
          <w:szCs w:val="22"/>
        </w:rPr>
        <w:t>,</w:t>
      </w:r>
      <w:r w:rsidRPr="442E6D0A">
        <w:rPr>
          <w:color w:val="000000" w:themeColor="text1"/>
          <w:szCs w:val="22"/>
        </w:rPr>
        <w:t xml:space="preserve"> en application de </w:t>
      </w:r>
      <w:r>
        <w:rPr>
          <w:color w:val="000000" w:themeColor="text1"/>
          <w:szCs w:val="22"/>
        </w:rPr>
        <w:t>votre doctrine professionnelle</w:t>
      </w:r>
      <w:r w:rsidRPr="442E6D0A">
        <w:rPr>
          <w:color w:val="000000" w:themeColor="text1"/>
          <w:szCs w:val="22"/>
        </w:rPr>
        <w:t>, dans le cadre de l’émission de votre rapport sur les informations environnementales, sociales et sociétales de</w:t>
      </w:r>
      <w:r w:rsidRPr="009C3BCB">
        <w:rPr>
          <w:color w:val="000000" w:themeColor="text1"/>
        </w:rPr>
        <w:t xml:space="preserve"> la déclaration de performance extra-financière </w:t>
      </w:r>
      <w:r w:rsidRPr="442E6D0A">
        <w:rPr>
          <w:color w:val="000000" w:themeColor="text1"/>
          <w:szCs w:val="22"/>
        </w:rPr>
        <w:t>publiées</w:t>
      </w:r>
      <w:r w:rsidRPr="009C3BCB">
        <w:rPr>
          <w:color w:val="000000" w:themeColor="text1"/>
        </w:rPr>
        <w:t xml:space="preserve"> dans le rapport de gestion </w:t>
      </w:r>
      <w:r w:rsidRPr="442E6D0A">
        <w:rPr>
          <w:color w:val="000000" w:themeColor="text1"/>
          <w:szCs w:val="22"/>
        </w:rPr>
        <w:t>XXXX du groupe XXX (ci-après respectivement « les Informations » et la « Déclaration ») présentées en annexe à cette lettre</w:t>
      </w:r>
      <w:r>
        <w:rPr>
          <w:color w:val="000000" w:themeColor="text1"/>
          <w:szCs w:val="22"/>
        </w:rPr>
        <w:t>.</w:t>
      </w:r>
    </w:p>
    <w:p w14:paraId="32538F03" w14:textId="77777777" w:rsidR="00E22005" w:rsidRPr="003B7769" w:rsidRDefault="00E22005" w:rsidP="00E22005">
      <w:pPr>
        <w:spacing w:before="120" w:beforeAutospacing="0" w:after="0" w:afterAutospacing="0"/>
        <w:ind w:right="45"/>
        <w:rPr>
          <w:color w:val="000000" w:themeColor="text1"/>
          <w:szCs w:val="22"/>
        </w:rPr>
      </w:pPr>
      <w:r w:rsidRPr="442E6D0A">
        <w:rPr>
          <w:color w:val="000000" w:themeColor="text1"/>
          <w:szCs w:val="22"/>
        </w:rPr>
        <w:t xml:space="preserve">En tant que responsable de </w:t>
      </w:r>
      <w:r>
        <w:rPr>
          <w:color w:val="000000" w:themeColor="text1"/>
          <w:szCs w:val="22"/>
        </w:rPr>
        <w:t>la préparation de la Déclaration</w:t>
      </w:r>
      <w:r w:rsidRPr="442E6D0A">
        <w:rPr>
          <w:color w:val="000000" w:themeColor="text1"/>
          <w:szCs w:val="22"/>
        </w:rPr>
        <w:t xml:space="preserve"> </w:t>
      </w:r>
      <w:r>
        <w:rPr>
          <w:color w:val="000000" w:themeColor="text1"/>
          <w:szCs w:val="22"/>
        </w:rPr>
        <w:t>et</w:t>
      </w:r>
      <w:r w:rsidRPr="442E6D0A">
        <w:rPr>
          <w:color w:val="000000" w:themeColor="text1"/>
          <w:szCs w:val="22"/>
        </w:rPr>
        <w:t xml:space="preserve"> du contrôle interne </w:t>
      </w:r>
      <w:r>
        <w:rPr>
          <w:color w:val="000000" w:themeColor="text1"/>
          <w:szCs w:val="22"/>
        </w:rPr>
        <w:t xml:space="preserve">y </w:t>
      </w:r>
      <w:r w:rsidRPr="442E6D0A">
        <w:rPr>
          <w:color w:val="000000" w:themeColor="text1"/>
          <w:szCs w:val="22"/>
        </w:rPr>
        <w:t xml:space="preserve">afférent, nous vous confirmons ci-après, en toute bonne foi et au mieux de notre connaissance, les informations et affirmations qui vous ont été fournies dans le cadre de votre mission. </w:t>
      </w:r>
    </w:p>
    <w:p w14:paraId="4AA24061" w14:textId="77777777" w:rsidR="00E22005" w:rsidRPr="001A243D" w:rsidRDefault="00E22005" w:rsidP="00E22005">
      <w:pPr>
        <w:numPr>
          <w:ilvl w:val="0"/>
          <w:numId w:val="2"/>
        </w:numPr>
        <w:spacing w:before="120" w:beforeAutospacing="0" w:after="0" w:afterAutospacing="0"/>
        <w:ind w:left="284" w:right="45" w:hanging="284"/>
        <w:rPr>
          <w:szCs w:val="22"/>
        </w:rPr>
      </w:pPr>
      <w:r w:rsidRPr="001A243D">
        <w:rPr>
          <w:color w:val="000000" w:themeColor="text1"/>
          <w:szCs w:val="22"/>
        </w:rPr>
        <w:t>[Le(s) référentiel(s) / protocole(s) / procédures / …] que nous avons développé(s) nous permet(</w:t>
      </w:r>
      <w:proofErr w:type="spellStart"/>
      <w:r w:rsidRPr="001A243D">
        <w:rPr>
          <w:color w:val="000000" w:themeColor="text1"/>
          <w:szCs w:val="22"/>
        </w:rPr>
        <w:t>tent</w:t>
      </w:r>
      <w:proofErr w:type="spellEnd"/>
      <w:r w:rsidRPr="001A243D">
        <w:rPr>
          <w:color w:val="000000" w:themeColor="text1"/>
          <w:szCs w:val="22"/>
        </w:rPr>
        <w:t>) d'évaluer de façon appropriée les impacts environnementaux, sociaux et sociétaux dont rendent compte les Informations</w:t>
      </w:r>
      <w:r w:rsidRPr="001A243D">
        <w:rPr>
          <w:szCs w:val="22"/>
        </w:rPr>
        <w:t xml:space="preserve">. </w:t>
      </w:r>
    </w:p>
    <w:p w14:paraId="4D8C9E5B" w14:textId="77777777" w:rsidR="00E22005" w:rsidRPr="001A243D" w:rsidRDefault="00E22005" w:rsidP="00E22005">
      <w:pPr>
        <w:numPr>
          <w:ilvl w:val="0"/>
          <w:numId w:val="2"/>
        </w:numPr>
        <w:spacing w:before="120" w:beforeAutospacing="0" w:after="0" w:afterAutospacing="0"/>
        <w:ind w:left="284" w:right="45" w:hanging="284"/>
        <w:rPr>
          <w:szCs w:val="22"/>
        </w:rPr>
      </w:pPr>
      <w:r w:rsidRPr="001A243D">
        <w:rPr>
          <w:szCs w:val="22"/>
        </w:rPr>
        <w:t>N</w:t>
      </w:r>
      <w:r w:rsidRPr="001A243D">
        <w:rPr>
          <w:color w:val="000000" w:themeColor="text1"/>
          <w:szCs w:val="22"/>
        </w:rPr>
        <w:t>ous avons rendu public le fait que tout tiers peut consulter [le(s) référentiel(s) / protocole(s) / procédures / …] sur notre site internet, ou sur simple demande auprès de la Direction du Développement Durable.</w:t>
      </w:r>
    </w:p>
    <w:p w14:paraId="26A3F016" w14:textId="77777777" w:rsidR="00E22005" w:rsidRPr="001A243D" w:rsidRDefault="00E22005" w:rsidP="00E22005">
      <w:pPr>
        <w:numPr>
          <w:ilvl w:val="0"/>
          <w:numId w:val="2"/>
        </w:numPr>
        <w:spacing w:before="120" w:beforeAutospacing="0" w:after="0" w:afterAutospacing="0"/>
        <w:ind w:left="284" w:right="45" w:hanging="284"/>
        <w:rPr>
          <w:color w:val="000000" w:themeColor="text1"/>
          <w:szCs w:val="22"/>
        </w:rPr>
      </w:pPr>
      <w:r w:rsidRPr="001A243D">
        <w:rPr>
          <w:color w:val="000000" w:themeColor="text1"/>
          <w:szCs w:val="22"/>
        </w:rPr>
        <w:t xml:space="preserve">Les Informations ont été publiées, dans tous leurs aspects significatifs, conformément [au(x) référentiel(s) / protocole / procédures / …] et ce, sur l’ensemble du périmètre mentionné dans les commentaires méthodologiques « Méthodologie du </w:t>
      </w:r>
      <w:proofErr w:type="spellStart"/>
      <w:r w:rsidRPr="001A243D">
        <w:rPr>
          <w:color w:val="000000" w:themeColor="text1"/>
          <w:szCs w:val="22"/>
        </w:rPr>
        <w:t>reporting</w:t>
      </w:r>
      <w:proofErr w:type="spellEnd"/>
      <w:r w:rsidRPr="001A243D">
        <w:rPr>
          <w:color w:val="000000" w:themeColor="text1"/>
          <w:szCs w:val="22"/>
        </w:rPr>
        <w:t xml:space="preserve"> RSE » du rapport de gestion.</w:t>
      </w:r>
    </w:p>
    <w:p w14:paraId="7A3E4C76" w14:textId="77777777" w:rsidR="00E22005" w:rsidRPr="001A243D" w:rsidRDefault="00E22005" w:rsidP="00E22005">
      <w:pPr>
        <w:numPr>
          <w:ilvl w:val="0"/>
          <w:numId w:val="2"/>
        </w:numPr>
        <w:spacing w:before="120" w:beforeAutospacing="0" w:after="0" w:afterAutospacing="0"/>
        <w:ind w:left="284" w:right="45" w:hanging="284"/>
        <w:rPr>
          <w:color w:val="000000" w:themeColor="text1"/>
          <w:szCs w:val="22"/>
        </w:rPr>
      </w:pPr>
      <w:r w:rsidRPr="001A243D">
        <w:rPr>
          <w:szCs w:val="22"/>
        </w:rPr>
        <w:t>Nous avons conçu et mis en œuvre les contrôles nécessaires lors de la collecte et de la consolidation des Informations, en particulier ceux destinés à prévenir et à détecter les erreurs et les fraudes.</w:t>
      </w:r>
    </w:p>
    <w:p w14:paraId="43084E37" w14:textId="77777777" w:rsidR="00E22005" w:rsidRPr="001A243D" w:rsidRDefault="00E22005" w:rsidP="00E22005">
      <w:pPr>
        <w:numPr>
          <w:ilvl w:val="0"/>
          <w:numId w:val="2"/>
        </w:numPr>
        <w:spacing w:before="120" w:beforeAutospacing="0" w:after="0" w:afterAutospacing="0"/>
        <w:ind w:left="284" w:right="45" w:hanging="284"/>
        <w:rPr>
          <w:color w:val="000000" w:themeColor="text1"/>
          <w:szCs w:val="22"/>
        </w:rPr>
      </w:pPr>
      <w:r w:rsidRPr="001A243D">
        <w:rPr>
          <w:szCs w:val="22"/>
        </w:rPr>
        <w:t>Nous n’avons pas connaissance de faiblesses significatives</w:t>
      </w:r>
      <w:r>
        <w:rPr>
          <w:rStyle w:val="Appelnotedebasdep"/>
          <w:szCs w:val="22"/>
        </w:rPr>
        <w:footnoteReference w:id="2"/>
      </w:r>
      <w:r w:rsidRPr="001A243D">
        <w:rPr>
          <w:szCs w:val="22"/>
        </w:rPr>
        <w:t xml:space="preserve"> du contrôle interne </w:t>
      </w:r>
      <w:r>
        <w:rPr>
          <w:szCs w:val="22"/>
        </w:rPr>
        <w:t>afférent à la préparation de la Déclaration</w:t>
      </w:r>
      <w:r w:rsidRPr="001A243D">
        <w:rPr>
          <w:rStyle w:val="Appelnotedebasdep"/>
          <w:szCs w:val="22"/>
        </w:rPr>
        <w:footnoteReference w:id="3"/>
      </w:r>
      <w:r w:rsidRPr="001A243D">
        <w:rPr>
          <w:rStyle w:val="Appelnotedebasdep"/>
          <w:szCs w:val="22"/>
        </w:rPr>
        <w:t xml:space="preserve"> </w:t>
      </w:r>
      <w:r w:rsidRPr="001A243D">
        <w:rPr>
          <w:szCs w:val="22"/>
        </w:rPr>
        <w:t>[</w:t>
      </w:r>
      <w:bookmarkStart w:id="0" w:name="_Int_cVJc0Zuf"/>
      <w:r w:rsidRPr="001A243D">
        <w:rPr>
          <w:i/>
          <w:iCs/>
          <w:szCs w:val="22"/>
        </w:rPr>
        <w:t>le</w:t>
      </w:r>
      <w:bookmarkEnd w:id="0"/>
      <w:r w:rsidRPr="001A243D">
        <w:rPr>
          <w:i/>
          <w:iCs/>
          <w:szCs w:val="22"/>
        </w:rPr>
        <w:t xml:space="preserve"> cas échéant : </w:t>
      </w:r>
      <w:r w:rsidRPr="001A243D">
        <w:rPr>
          <w:szCs w:val="22"/>
        </w:rPr>
        <w:t>autres que celles que nous vous avons déjà signalées</w:t>
      </w:r>
      <w:r w:rsidRPr="001A243D">
        <w:rPr>
          <w:i/>
          <w:iCs/>
          <w:szCs w:val="22"/>
        </w:rPr>
        <w:t xml:space="preserve"> (à préciser)</w:t>
      </w:r>
      <w:r w:rsidRPr="001A243D">
        <w:rPr>
          <w:szCs w:val="22"/>
        </w:rPr>
        <w:t>].</w:t>
      </w:r>
    </w:p>
    <w:p w14:paraId="30AD7DDB" w14:textId="77777777" w:rsidR="00E22005" w:rsidRPr="001A243D" w:rsidRDefault="00E22005" w:rsidP="00E22005">
      <w:pPr>
        <w:numPr>
          <w:ilvl w:val="0"/>
          <w:numId w:val="2"/>
        </w:numPr>
        <w:spacing w:before="120" w:beforeAutospacing="0" w:after="0" w:afterAutospacing="0"/>
        <w:ind w:left="284" w:right="45" w:hanging="284"/>
        <w:rPr>
          <w:color w:val="000000" w:themeColor="text1"/>
          <w:szCs w:val="22"/>
        </w:rPr>
      </w:pPr>
      <w:r w:rsidRPr="001A243D">
        <w:rPr>
          <w:szCs w:val="22"/>
        </w:rPr>
        <w:t xml:space="preserve">Nous avons pris connaissance de l’état, joint en </w:t>
      </w:r>
      <w:r w:rsidRPr="001A243D">
        <w:rPr>
          <w:color w:val="000000" w:themeColor="text1"/>
          <w:szCs w:val="22"/>
        </w:rPr>
        <w:t>annexe, des anomalies relevées lors de vos travaux sur les Informations et non corrigées. Nous considérons que ces anomalies ne sont pas significatives au regard des Informations prises dans leur ensemble.</w:t>
      </w:r>
    </w:p>
    <w:p w14:paraId="0AC2074A" w14:textId="77777777" w:rsidR="00E22005" w:rsidRPr="001A243D" w:rsidRDefault="00E22005" w:rsidP="00E22005">
      <w:pPr>
        <w:numPr>
          <w:ilvl w:val="0"/>
          <w:numId w:val="2"/>
        </w:numPr>
        <w:overflowPunct w:val="0"/>
        <w:autoSpaceDE w:val="0"/>
        <w:autoSpaceDN w:val="0"/>
        <w:adjustRightInd w:val="0"/>
        <w:spacing w:before="120" w:beforeAutospacing="0" w:after="0" w:afterAutospacing="0"/>
        <w:ind w:left="284" w:right="45" w:hanging="284"/>
        <w:textAlignment w:val="baseline"/>
        <w:rPr>
          <w:color w:val="000000" w:themeColor="text1"/>
          <w:szCs w:val="22"/>
        </w:rPr>
      </w:pPr>
      <w:r w:rsidRPr="001A243D">
        <w:rPr>
          <w:color w:val="000000" w:themeColor="text1"/>
          <w:szCs w:val="22"/>
        </w:rPr>
        <w:t xml:space="preserve">Les principales hypothèses et/ou estimations retenues pour l’établissement des Informations publiées, en particulier pour les informations qualitatives, présentées dans le … [document/paragraphe « Méthodologie du </w:t>
      </w:r>
      <w:proofErr w:type="spellStart"/>
      <w:r w:rsidRPr="001A243D">
        <w:rPr>
          <w:color w:val="000000" w:themeColor="text1"/>
          <w:szCs w:val="22"/>
        </w:rPr>
        <w:t>reporting</w:t>
      </w:r>
      <w:proofErr w:type="spellEnd"/>
      <w:r w:rsidRPr="001A243D">
        <w:rPr>
          <w:color w:val="000000" w:themeColor="text1"/>
          <w:szCs w:val="22"/>
        </w:rPr>
        <w:t xml:space="preserve"> RSE »] nous paraissent raisonnables.</w:t>
      </w:r>
    </w:p>
    <w:p w14:paraId="509E555C" w14:textId="77777777" w:rsidR="00E22005" w:rsidRPr="001A243D" w:rsidRDefault="00E22005" w:rsidP="00E22005">
      <w:pPr>
        <w:numPr>
          <w:ilvl w:val="0"/>
          <w:numId w:val="2"/>
        </w:numPr>
        <w:spacing w:before="120" w:beforeAutospacing="0" w:after="0" w:afterAutospacing="0"/>
        <w:ind w:left="284" w:right="45" w:hanging="284"/>
        <w:rPr>
          <w:color w:val="000000" w:themeColor="text1"/>
          <w:szCs w:val="22"/>
        </w:rPr>
      </w:pPr>
      <w:r w:rsidRPr="001A243D">
        <w:rPr>
          <w:color w:val="000000" w:themeColor="text1"/>
          <w:szCs w:val="22"/>
        </w:rPr>
        <w:lastRenderedPageBreak/>
        <w:t xml:space="preserve">L’information communiquée dans le document/paragraphe « Méthodologie du </w:t>
      </w:r>
      <w:proofErr w:type="spellStart"/>
      <w:r w:rsidRPr="001A243D">
        <w:rPr>
          <w:color w:val="000000" w:themeColor="text1"/>
          <w:szCs w:val="22"/>
        </w:rPr>
        <w:t>reporting</w:t>
      </w:r>
      <w:proofErr w:type="spellEnd"/>
      <w:r w:rsidRPr="001A243D">
        <w:rPr>
          <w:color w:val="000000" w:themeColor="text1"/>
          <w:szCs w:val="22"/>
        </w:rPr>
        <w:t xml:space="preserve"> RSE » est suffisante pour permettre la compréhension, par le lecteur, des Informations publiées.</w:t>
      </w:r>
    </w:p>
    <w:p w14:paraId="653D7C17" w14:textId="77777777" w:rsidR="00E22005" w:rsidRPr="001A243D" w:rsidRDefault="00E22005" w:rsidP="00E22005">
      <w:pPr>
        <w:numPr>
          <w:ilvl w:val="0"/>
          <w:numId w:val="2"/>
        </w:numPr>
        <w:spacing w:before="120" w:beforeAutospacing="0" w:after="0" w:afterAutospacing="0"/>
        <w:ind w:left="284" w:right="45" w:hanging="284"/>
        <w:rPr>
          <w:color w:val="000000" w:themeColor="text1"/>
          <w:szCs w:val="22"/>
        </w:rPr>
      </w:pPr>
      <w:r w:rsidRPr="001A243D">
        <w:rPr>
          <w:color w:val="000000" w:themeColor="text1"/>
          <w:szCs w:val="22"/>
        </w:rPr>
        <w:t>A ce jour, nous n’avons connaissance d’aucun événement, autres que ceux déjà pris en compte, survenu depuis la date de clôture de l’exercice et qui nécessiterait une modification des Informations.</w:t>
      </w:r>
    </w:p>
    <w:p w14:paraId="02CE7E1D" w14:textId="77777777" w:rsidR="00E22005" w:rsidRPr="001A243D" w:rsidRDefault="00E22005" w:rsidP="00E22005">
      <w:pPr>
        <w:numPr>
          <w:ilvl w:val="0"/>
          <w:numId w:val="2"/>
        </w:numPr>
        <w:tabs>
          <w:tab w:val="left" w:pos="567"/>
        </w:tabs>
        <w:spacing w:before="120" w:beforeAutospacing="0" w:after="0" w:afterAutospacing="0"/>
        <w:ind w:left="284" w:right="45" w:hanging="284"/>
        <w:rPr>
          <w:color w:val="000000" w:themeColor="text1"/>
          <w:szCs w:val="22"/>
        </w:rPr>
      </w:pPr>
      <w:r w:rsidRPr="001A243D">
        <w:rPr>
          <w:szCs w:val="22"/>
        </w:rPr>
        <w:t>Nous n’avons pas relevé d’incohérence avec les hypothèses retenues pour l’établissement des états financiers et autres éléments de communication de l’entreprise qui aurait une incidence significative sur les Informations ou la Déclaration.</w:t>
      </w:r>
    </w:p>
    <w:p w14:paraId="46C8C666" w14:textId="77777777" w:rsidR="00E22005" w:rsidRPr="001A243D" w:rsidRDefault="00E22005" w:rsidP="00E22005">
      <w:pPr>
        <w:numPr>
          <w:ilvl w:val="0"/>
          <w:numId w:val="2"/>
        </w:numPr>
        <w:overflowPunct w:val="0"/>
        <w:autoSpaceDE w:val="0"/>
        <w:autoSpaceDN w:val="0"/>
        <w:adjustRightInd w:val="0"/>
        <w:spacing w:before="120" w:beforeAutospacing="0" w:after="0" w:afterAutospacing="0"/>
        <w:ind w:left="284" w:right="45" w:hanging="284"/>
        <w:textAlignment w:val="baseline"/>
        <w:rPr>
          <w:szCs w:val="22"/>
        </w:rPr>
      </w:pPr>
      <w:r w:rsidRPr="001A243D">
        <w:rPr>
          <w:szCs w:val="22"/>
        </w:rPr>
        <w:t>Nous avons mis à votre disposition toute la documentation nécessaire à la réalisation de votre mission, notamment les procédures internes et rapports internes, matrice de collecte, ainsi que toutes les informations, notamment à caractère qualitatif, ayant ou pouvant avoir une incidence significative sur les Informations.</w:t>
      </w:r>
    </w:p>
    <w:p w14:paraId="1F7002D0" w14:textId="77777777" w:rsidR="00E22005" w:rsidRPr="001A243D" w:rsidRDefault="00E22005" w:rsidP="00E22005">
      <w:pPr>
        <w:numPr>
          <w:ilvl w:val="0"/>
          <w:numId w:val="2"/>
        </w:numPr>
        <w:tabs>
          <w:tab w:val="left" w:pos="567"/>
        </w:tabs>
        <w:spacing w:before="120" w:beforeAutospacing="0" w:after="0" w:afterAutospacing="0"/>
        <w:ind w:left="284" w:right="45" w:hanging="284"/>
        <w:rPr>
          <w:color w:val="000000" w:themeColor="text1"/>
          <w:szCs w:val="22"/>
        </w:rPr>
      </w:pPr>
      <w:r w:rsidRPr="001A243D">
        <w:rPr>
          <w:szCs w:val="22"/>
        </w:rPr>
        <w:t>Nous vous avons fourni toutes les informations supplémentaires que vous nous avez demandées et laissé libre accès aux personnes au sein de l’entité que vous avez souhaité interroger pour les besoins de la vérification.</w:t>
      </w:r>
    </w:p>
    <w:p w14:paraId="2728A22E" w14:textId="77777777" w:rsidR="00E22005" w:rsidRPr="001A243D" w:rsidRDefault="00E22005" w:rsidP="00E22005">
      <w:pPr>
        <w:numPr>
          <w:ilvl w:val="0"/>
          <w:numId w:val="2"/>
        </w:numPr>
        <w:tabs>
          <w:tab w:val="left" w:pos="567"/>
        </w:tabs>
        <w:spacing w:before="120" w:beforeAutospacing="0" w:after="0" w:afterAutospacing="0"/>
        <w:ind w:left="284" w:right="45" w:hanging="284"/>
        <w:rPr>
          <w:color w:val="000000" w:themeColor="text1"/>
          <w:szCs w:val="22"/>
        </w:rPr>
      </w:pPr>
      <w:r w:rsidRPr="001A243D">
        <w:rPr>
          <w:szCs w:val="22"/>
        </w:rPr>
        <w:t xml:space="preserve">Nous n’avons connaissance d’aucun rapport, avis ou position émanant d’organismes externes de contrôle dont le contenu pourrait avoir une incidence significative sur la présentation et les méthodes d’évaluation des Informations.  </w:t>
      </w:r>
    </w:p>
    <w:p w14:paraId="5CE29687" w14:textId="77777777" w:rsidR="00E22005" w:rsidRPr="001A243D" w:rsidRDefault="00E22005" w:rsidP="00E22005">
      <w:pPr>
        <w:numPr>
          <w:ilvl w:val="0"/>
          <w:numId w:val="2"/>
        </w:numPr>
        <w:tabs>
          <w:tab w:val="left" w:pos="567"/>
        </w:tabs>
        <w:spacing w:before="120" w:beforeAutospacing="0" w:after="0" w:afterAutospacing="0"/>
        <w:ind w:left="284" w:right="45" w:hanging="284"/>
        <w:rPr>
          <w:color w:val="000000" w:themeColor="text1"/>
          <w:szCs w:val="22"/>
        </w:rPr>
      </w:pPr>
      <w:r w:rsidRPr="001A243D">
        <w:rPr>
          <w:szCs w:val="22"/>
        </w:rPr>
        <w:t>Nous avons appliqué, au mieux de notre connaissance, les textes légaux et règlementaires. Des procédures ont été conçues et mises en œuvre dans la société, visant à garantir le respect de ces textes légaux et règlementaires. Nous n’avons pas connaissance de cas de non-respect susceptible de conduire à des anomalies significatives dans la Déclaration.</w:t>
      </w:r>
    </w:p>
    <w:p w14:paraId="7BB58E62" w14:textId="77777777" w:rsidR="00E22005" w:rsidRPr="001A243D" w:rsidRDefault="00E22005" w:rsidP="00E22005">
      <w:pPr>
        <w:numPr>
          <w:ilvl w:val="0"/>
          <w:numId w:val="2"/>
        </w:numPr>
        <w:spacing w:before="120" w:beforeAutospacing="0" w:after="0" w:afterAutospacing="0"/>
        <w:ind w:left="284" w:right="45" w:hanging="284"/>
        <w:rPr>
          <w:color w:val="000000" w:themeColor="text1"/>
          <w:szCs w:val="22"/>
        </w:rPr>
      </w:pPr>
      <w:r w:rsidRPr="001A243D">
        <w:rPr>
          <w:szCs w:val="22"/>
        </w:rPr>
        <w:t>La partie du rapport de gestion incluant la Déclaration contient toutes les informations requises par le code de commerce.</w:t>
      </w:r>
    </w:p>
    <w:tbl>
      <w:tblPr>
        <w:tblW w:w="0" w:type="auto"/>
        <w:tblLook w:val="01E0" w:firstRow="1" w:lastRow="1" w:firstColumn="1" w:lastColumn="1" w:noHBand="0" w:noVBand="0"/>
      </w:tblPr>
      <w:tblGrid>
        <w:gridCol w:w="4492"/>
        <w:gridCol w:w="4492"/>
      </w:tblGrid>
      <w:tr w:rsidR="00E22005" w:rsidRPr="001F7DE2" w14:paraId="7D51CB99" w14:textId="77777777" w:rsidTr="00B45B7D">
        <w:tc>
          <w:tcPr>
            <w:tcW w:w="4492" w:type="dxa"/>
            <w:shd w:val="clear" w:color="auto" w:fill="auto"/>
            <w:hideMark/>
          </w:tcPr>
          <w:p w14:paraId="7F244188" w14:textId="77777777" w:rsidR="00E22005" w:rsidRPr="001F7DE2" w:rsidRDefault="00E22005" w:rsidP="00B45B7D">
            <w:pPr>
              <w:jc w:val="center"/>
              <w:rPr>
                <w:szCs w:val="22"/>
              </w:rPr>
            </w:pPr>
          </w:p>
          <w:p w14:paraId="2CF2E908" w14:textId="77777777" w:rsidR="00E22005" w:rsidRDefault="00E22005" w:rsidP="00B45B7D">
            <w:pPr>
              <w:jc w:val="center"/>
              <w:rPr>
                <w:szCs w:val="22"/>
              </w:rPr>
            </w:pPr>
          </w:p>
          <w:p w14:paraId="7DE29DA9" w14:textId="77777777" w:rsidR="00E22005" w:rsidRPr="001F7DE2" w:rsidRDefault="00E22005" w:rsidP="00B45B7D">
            <w:pPr>
              <w:jc w:val="center"/>
              <w:rPr>
                <w:szCs w:val="22"/>
              </w:rPr>
            </w:pPr>
          </w:p>
          <w:p w14:paraId="79C760B7" w14:textId="77777777" w:rsidR="00E22005" w:rsidRPr="001F7DE2" w:rsidRDefault="00E22005" w:rsidP="00B45B7D">
            <w:pPr>
              <w:jc w:val="center"/>
              <w:rPr>
                <w:i/>
                <w:szCs w:val="22"/>
              </w:rPr>
            </w:pPr>
            <w:r w:rsidRPr="001F7DE2">
              <w:rPr>
                <w:i/>
                <w:szCs w:val="22"/>
              </w:rPr>
              <w:t>Signature</w:t>
            </w:r>
          </w:p>
          <w:p w14:paraId="70D6444A" w14:textId="77777777" w:rsidR="00E22005" w:rsidRPr="001F7DE2" w:rsidRDefault="00E22005" w:rsidP="00B45B7D">
            <w:pPr>
              <w:jc w:val="center"/>
              <w:rPr>
                <w:szCs w:val="22"/>
              </w:rPr>
            </w:pPr>
          </w:p>
          <w:p w14:paraId="6706B5CE" w14:textId="77777777" w:rsidR="00E22005" w:rsidRPr="001F7DE2" w:rsidRDefault="00E22005" w:rsidP="00B45B7D">
            <w:pPr>
              <w:jc w:val="center"/>
              <w:rPr>
                <w:szCs w:val="22"/>
              </w:rPr>
            </w:pPr>
            <w:r w:rsidRPr="001F7DE2">
              <w:rPr>
                <w:szCs w:val="22"/>
              </w:rPr>
              <w:t>Président Directeur Général ou Directeur Général Délégué (Gérant)</w:t>
            </w:r>
            <w:r w:rsidRPr="001F7DE2">
              <w:rPr>
                <w:rStyle w:val="Appelnotedebasdep"/>
                <w:spacing w:val="-2"/>
                <w:szCs w:val="22"/>
              </w:rPr>
              <w:footnoteReference w:id="4"/>
            </w:r>
          </w:p>
        </w:tc>
        <w:tc>
          <w:tcPr>
            <w:tcW w:w="4492" w:type="dxa"/>
            <w:shd w:val="clear" w:color="auto" w:fill="auto"/>
            <w:hideMark/>
          </w:tcPr>
          <w:p w14:paraId="07798179" w14:textId="77777777" w:rsidR="00E22005" w:rsidRDefault="00E22005" w:rsidP="00B45B7D">
            <w:pPr>
              <w:jc w:val="right"/>
              <w:rPr>
                <w:szCs w:val="22"/>
              </w:rPr>
            </w:pPr>
          </w:p>
          <w:p w14:paraId="5B68A611" w14:textId="77777777" w:rsidR="00E22005" w:rsidRPr="001F7DE2" w:rsidRDefault="00E22005" w:rsidP="00B45B7D">
            <w:pPr>
              <w:jc w:val="right"/>
              <w:rPr>
                <w:szCs w:val="22"/>
              </w:rPr>
            </w:pPr>
          </w:p>
          <w:p w14:paraId="58B7D355" w14:textId="77777777" w:rsidR="00E22005" w:rsidRPr="001F7DE2" w:rsidRDefault="00E22005" w:rsidP="00B45B7D">
            <w:pPr>
              <w:jc w:val="right"/>
              <w:rPr>
                <w:szCs w:val="22"/>
              </w:rPr>
            </w:pPr>
          </w:p>
          <w:p w14:paraId="1F335912" w14:textId="77777777" w:rsidR="00E22005" w:rsidRPr="001F7DE2" w:rsidRDefault="00E22005" w:rsidP="00B45B7D">
            <w:pPr>
              <w:jc w:val="center"/>
              <w:rPr>
                <w:i/>
                <w:szCs w:val="22"/>
              </w:rPr>
            </w:pPr>
            <w:r w:rsidRPr="00E65C35">
              <w:rPr>
                <w:i/>
                <w:szCs w:val="22"/>
              </w:rPr>
              <w:t>Signature</w:t>
            </w:r>
          </w:p>
          <w:p w14:paraId="0FECBE51" w14:textId="77777777" w:rsidR="00E22005" w:rsidRPr="001F7DE2" w:rsidRDefault="00E22005" w:rsidP="00B45B7D">
            <w:pPr>
              <w:jc w:val="center"/>
              <w:rPr>
                <w:szCs w:val="22"/>
              </w:rPr>
            </w:pPr>
          </w:p>
          <w:p w14:paraId="084DD470" w14:textId="77777777" w:rsidR="00E22005" w:rsidRPr="001F7DE2" w:rsidRDefault="00E22005" w:rsidP="00B45B7D">
            <w:pPr>
              <w:jc w:val="center"/>
              <w:rPr>
                <w:rStyle w:val="Appelnotedebasdep"/>
                <w:szCs w:val="22"/>
              </w:rPr>
            </w:pPr>
            <w:r w:rsidRPr="1B192C1C">
              <w:rPr>
                <w:szCs w:val="22"/>
              </w:rPr>
              <w:t>Directeur responsable de l</w:t>
            </w:r>
            <w:r>
              <w:rPr>
                <w:szCs w:val="22"/>
              </w:rPr>
              <w:t>a préparation de la Déclaration</w:t>
            </w:r>
          </w:p>
          <w:p w14:paraId="2CDB8A35" w14:textId="77777777" w:rsidR="00E22005" w:rsidRPr="00CF4565" w:rsidRDefault="00E22005" w:rsidP="00B45B7D">
            <w:pPr>
              <w:jc w:val="right"/>
            </w:pPr>
          </w:p>
        </w:tc>
      </w:tr>
    </w:tbl>
    <w:p w14:paraId="45FC9D33" w14:textId="77777777" w:rsidR="00E22005" w:rsidRPr="00443382" w:rsidRDefault="00E22005" w:rsidP="00E22005">
      <w:pPr>
        <w:rPr>
          <w:rFonts w:ascii="Verdana" w:hAnsi="Verdana" w:cstheme="minorHAnsi"/>
          <w:spacing w:val="-2"/>
          <w:szCs w:val="22"/>
        </w:rPr>
      </w:pPr>
    </w:p>
    <w:p w14:paraId="33C7EA8B" w14:textId="2BD5AC8E" w:rsidR="007B772D" w:rsidRPr="007206F1" w:rsidRDefault="007B772D" w:rsidP="007206F1"/>
    <w:sectPr w:rsidR="007B772D" w:rsidRPr="007206F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E1B13" w14:textId="77777777" w:rsidR="00550D61" w:rsidRDefault="00550D61" w:rsidP="007B772D">
      <w:pPr>
        <w:spacing w:before="0" w:after="0"/>
      </w:pPr>
      <w:r>
        <w:separator/>
      </w:r>
    </w:p>
  </w:endnote>
  <w:endnote w:type="continuationSeparator" w:id="0">
    <w:p w14:paraId="79E2A74A" w14:textId="77777777" w:rsidR="00550D61" w:rsidRDefault="00550D61" w:rsidP="007B77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5D261" w14:textId="77777777" w:rsidR="00116CEA" w:rsidRPr="00116CEA" w:rsidRDefault="00116CEA" w:rsidP="00116CEA">
    <w:pPr>
      <w:tabs>
        <w:tab w:val="center" w:pos="4536"/>
        <w:tab w:val="right" w:pos="9072"/>
      </w:tabs>
      <w:spacing w:before="0" w:beforeAutospacing="0" w:after="0" w:afterAutospacing="0"/>
      <w:rPr>
        <w:rFonts w:eastAsia="Calibri"/>
        <w:sz w:val="16"/>
        <w:szCs w:val="16"/>
      </w:rPr>
    </w:pPr>
    <w:r w:rsidRPr="00116CEA">
      <w:rPr>
        <w:rFonts w:eastAsia="Calibri"/>
        <w:sz w:val="16"/>
        <w:szCs w:val="16"/>
      </w:rPr>
      <w:t xml:space="preserve">© </w:t>
    </w:r>
    <w:bookmarkStart w:id="1" w:name="_Hlk95984626"/>
    <w:r w:rsidRPr="00116CEA">
      <w:rPr>
        <w:rFonts w:eastAsia="Calibri"/>
        <w:sz w:val="16"/>
        <w:szCs w:val="16"/>
      </w:rPr>
      <w:t>CNCC – Avis Technique - Intervention du CAC - Intervention de l’OTI - Déclaration de performance extra-financière – Juin 2023</w:t>
    </w:r>
    <w:bookmarkEnd w:id="1"/>
  </w:p>
  <w:p w14:paraId="29B2E932" w14:textId="0920D1F3" w:rsidR="00116CEA" w:rsidRDefault="00116CEA" w:rsidP="00116CEA">
    <w:pPr>
      <w:tabs>
        <w:tab w:val="center" w:pos="4536"/>
        <w:tab w:val="right" w:pos="9072"/>
      </w:tabs>
      <w:spacing w:before="0" w:beforeAutospacing="0" w:after="0" w:afterAutospacing="0"/>
    </w:pPr>
    <w:r w:rsidRPr="00116CEA">
      <w:rPr>
        <w:rFonts w:eastAsia="Calibri"/>
        <w:sz w:val="16"/>
        <w:szCs w:val="16"/>
      </w:rPr>
      <w:t>Tous droits réservés® – CNCC 2023</w:t>
    </w:r>
    <w:r w:rsidRPr="00116CEA">
      <w:rPr>
        <w:rFonts w:eastAsia="Calibri"/>
        <w:sz w:val="16"/>
        <w:szCs w:val="16"/>
      </w:rPr>
      <w:tab/>
    </w:r>
    <w:r w:rsidRPr="00116CEA">
      <w:rPr>
        <w:rFonts w:eastAsia="Calibri"/>
        <w:sz w:val="16"/>
        <w:szCs w:val="16"/>
      </w:rPr>
      <w:tab/>
    </w:r>
    <w:r w:rsidRPr="00116CEA">
      <w:rPr>
        <w:rFonts w:eastAsia="Calibri"/>
        <w:sz w:val="16"/>
        <w:szCs w:val="16"/>
      </w:rPr>
      <w:fldChar w:fldCharType="begin"/>
    </w:r>
    <w:r w:rsidRPr="00116CEA">
      <w:rPr>
        <w:rFonts w:eastAsia="Calibri"/>
        <w:sz w:val="16"/>
        <w:szCs w:val="16"/>
      </w:rPr>
      <w:instrText>PAGE  \* Arabic  \* MERGEFORMAT</w:instrText>
    </w:r>
    <w:r w:rsidRPr="00116CEA">
      <w:rPr>
        <w:rFonts w:eastAsia="Calibri"/>
        <w:sz w:val="16"/>
        <w:szCs w:val="16"/>
      </w:rPr>
      <w:fldChar w:fldCharType="separate"/>
    </w:r>
    <w:r w:rsidRPr="00116CEA">
      <w:rPr>
        <w:rFonts w:eastAsia="Calibri"/>
        <w:sz w:val="16"/>
        <w:szCs w:val="16"/>
      </w:rPr>
      <w:t>1</w:t>
    </w:r>
    <w:r w:rsidRPr="00116CEA">
      <w:rPr>
        <w:rFonts w:eastAsia="Calibri"/>
        <w:sz w:val="16"/>
        <w:szCs w:val="16"/>
      </w:rPr>
      <w:fldChar w:fldCharType="end"/>
    </w:r>
    <w:r w:rsidRPr="00116CEA">
      <w:rPr>
        <w:rFonts w:eastAsia="Calibri"/>
        <w:sz w:val="16"/>
        <w:szCs w:val="16"/>
      </w:rPr>
      <w:t>/</w:t>
    </w:r>
    <w:r w:rsidRPr="00116CEA">
      <w:rPr>
        <w:rFonts w:eastAsia="Calibri"/>
        <w:sz w:val="16"/>
        <w:szCs w:val="16"/>
      </w:rPr>
      <w:fldChar w:fldCharType="begin"/>
    </w:r>
    <w:r w:rsidRPr="00116CEA">
      <w:rPr>
        <w:rFonts w:eastAsia="Calibri"/>
        <w:sz w:val="16"/>
        <w:szCs w:val="16"/>
      </w:rPr>
      <w:instrText>NUMPAGES  \* Arabic  \* MERGEFORMAT</w:instrText>
    </w:r>
    <w:r w:rsidRPr="00116CEA">
      <w:rPr>
        <w:rFonts w:eastAsia="Calibri"/>
        <w:sz w:val="16"/>
        <w:szCs w:val="16"/>
      </w:rPr>
      <w:fldChar w:fldCharType="separate"/>
    </w:r>
    <w:r w:rsidRPr="00116CEA">
      <w:rPr>
        <w:rFonts w:eastAsia="Calibri"/>
        <w:sz w:val="16"/>
        <w:szCs w:val="16"/>
      </w:rPr>
      <w:t>1</w:t>
    </w:r>
    <w:r w:rsidRPr="00116CEA">
      <w:rPr>
        <w:rFonts w:eastAsia="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46B2E" w14:textId="77777777" w:rsidR="00550D61" w:rsidRDefault="00550D61" w:rsidP="007B772D">
      <w:pPr>
        <w:spacing w:before="0" w:after="0"/>
      </w:pPr>
      <w:r>
        <w:separator/>
      </w:r>
    </w:p>
  </w:footnote>
  <w:footnote w:type="continuationSeparator" w:id="0">
    <w:p w14:paraId="066910B4" w14:textId="77777777" w:rsidR="00550D61" w:rsidRDefault="00550D61" w:rsidP="007B772D">
      <w:pPr>
        <w:spacing w:before="0" w:after="0"/>
      </w:pPr>
      <w:r>
        <w:continuationSeparator/>
      </w:r>
    </w:p>
  </w:footnote>
  <w:footnote w:id="1">
    <w:p w14:paraId="072787AB" w14:textId="77777777" w:rsidR="00E22005" w:rsidRPr="00B62A35" w:rsidRDefault="00E22005" w:rsidP="00E22005">
      <w:pPr>
        <w:spacing w:before="0" w:beforeAutospacing="0" w:after="20" w:afterAutospacing="0"/>
        <w:ind w:left="142" w:hanging="142"/>
        <w:rPr>
          <w:iCs/>
          <w:sz w:val="20"/>
        </w:rPr>
      </w:pPr>
      <w:r w:rsidRPr="00B62A35">
        <w:rPr>
          <w:rStyle w:val="Appelnotedebasdep"/>
          <w:iCs/>
          <w:sz w:val="20"/>
        </w:rPr>
        <w:footnoteRef/>
      </w:r>
      <w:r w:rsidRPr="00B62A35">
        <w:rPr>
          <w:rStyle w:val="Appelnotedebasdep"/>
          <w:iCs/>
          <w:sz w:val="20"/>
        </w:rPr>
        <w:t xml:space="preserve"> </w:t>
      </w:r>
      <w:r w:rsidRPr="00B62A35">
        <w:rPr>
          <w:iCs/>
          <w:sz w:val="20"/>
        </w:rPr>
        <w:t>Dans le cadre de son intervention, l’OTI demande à l’entité de lui fournir une lettre d’affirmation spécifique, à une date aussi proche que possible de la date de l’avis motivé, mais pas postérieure à celle</w:t>
      </w:r>
      <w:r w:rsidRPr="00B62A35">
        <w:rPr>
          <w:iCs/>
          <w:sz w:val="20"/>
        </w:rPr>
        <w:noBreakHyphen/>
        <w:t>ci (se reporter également au 4.4 du présent avis technique)</w:t>
      </w:r>
      <w:r>
        <w:rPr>
          <w:iCs/>
          <w:sz w:val="20"/>
        </w:rPr>
        <w:t>.</w:t>
      </w:r>
    </w:p>
  </w:footnote>
  <w:footnote w:id="2">
    <w:p w14:paraId="128C724E" w14:textId="77777777" w:rsidR="00E22005" w:rsidRDefault="00E22005" w:rsidP="00E22005">
      <w:pPr>
        <w:pStyle w:val="Notedebasdepage"/>
      </w:pPr>
      <w:r>
        <w:rPr>
          <w:rStyle w:val="Appelnotedebasdep"/>
        </w:rPr>
        <w:footnoteRef/>
      </w:r>
      <w:r>
        <w:t xml:space="preserve"> </w:t>
      </w:r>
      <w:r>
        <w:rPr>
          <w:szCs w:val="22"/>
        </w:rPr>
        <w:t xml:space="preserve">En référence à la NEP 265 – </w:t>
      </w:r>
      <w:r w:rsidRPr="00790268">
        <w:rPr>
          <w:i/>
          <w:iCs w:val="0"/>
          <w:szCs w:val="22"/>
        </w:rPr>
        <w:t>Communication des faiblesses du contrôle interne</w:t>
      </w:r>
      <w:r>
        <w:rPr>
          <w:szCs w:val="22"/>
        </w:rPr>
        <w:t xml:space="preserve">, une faiblesse significative du contrôle interne est une faiblesse ou un ensemble de faiblesses du contrôle interne lié à l’information </w:t>
      </w:r>
      <w:r w:rsidRPr="442E6D0A">
        <w:rPr>
          <w:color w:val="000000" w:themeColor="text1"/>
          <w:szCs w:val="22"/>
        </w:rPr>
        <w:t>environnementale, sociale et sociétale de</w:t>
      </w:r>
      <w:r w:rsidRPr="009C3BCB">
        <w:rPr>
          <w:color w:val="000000" w:themeColor="text1"/>
        </w:rPr>
        <w:t xml:space="preserve"> la déclaration de performance extra-financière</w:t>
      </w:r>
      <w:r>
        <w:rPr>
          <w:color w:val="000000" w:themeColor="text1"/>
        </w:rPr>
        <w:t xml:space="preserve"> suffisamment importante pour mériter l’attention de l’organe collégial chargé de l’administration ou de l’organe chargé de la direction et de l’organe de surveillance, ainsi que, le cas échéant, du comité spécialisé.</w:t>
      </w:r>
    </w:p>
  </w:footnote>
  <w:footnote w:id="3">
    <w:p w14:paraId="3109E33E" w14:textId="77777777" w:rsidR="00E22005" w:rsidRPr="00951AFD" w:rsidRDefault="00E22005" w:rsidP="00E22005">
      <w:pPr>
        <w:pStyle w:val="Notedebasdepage"/>
        <w:ind w:left="142" w:hanging="142"/>
      </w:pPr>
      <w:r>
        <w:rPr>
          <w:rStyle w:val="Appelnotedebasdep"/>
        </w:rPr>
        <w:footnoteRef/>
      </w:r>
      <w:r w:rsidRPr="00B62A35">
        <w:rPr>
          <w:rStyle w:val="Appelnotedebasdep"/>
        </w:rPr>
        <w:t xml:space="preserve"> </w:t>
      </w:r>
      <w:r w:rsidRPr="00B62A35">
        <w:t xml:space="preserve">Le cas échéant : « Nous vous avons communiqué les </w:t>
      </w:r>
      <w:r w:rsidRPr="00B62A35">
        <w:rPr>
          <w:bCs/>
        </w:rPr>
        <w:t>faiblesses significatives du contrôle interne dont nous avons eu connaissance »</w:t>
      </w:r>
      <w:r>
        <w:rPr>
          <w:bCs/>
        </w:rPr>
        <w:t>.</w:t>
      </w:r>
    </w:p>
  </w:footnote>
  <w:footnote w:id="4">
    <w:p w14:paraId="635F913F" w14:textId="77777777" w:rsidR="00E22005" w:rsidRPr="00951AFD" w:rsidRDefault="00E22005" w:rsidP="00E22005">
      <w:pPr>
        <w:pStyle w:val="Notedebasdepage"/>
        <w:jc w:val="left"/>
        <w:rPr>
          <w:rFonts w:ascii="Calibri" w:hAnsi="Calibri"/>
        </w:rPr>
      </w:pPr>
      <w:r w:rsidRPr="00B62A35">
        <w:rPr>
          <w:rStyle w:val="Appelnotedebasdep"/>
        </w:rPr>
        <w:footnoteRef/>
      </w:r>
      <w:r w:rsidRPr="00F32FA3">
        <w:rPr>
          <w:rStyle w:val="Appelnotedebasdep"/>
          <w:rFonts w:ascii="Verdana" w:hAnsi="Verdana"/>
          <w:szCs w:val="16"/>
        </w:rPr>
        <w:t xml:space="preserve"> </w:t>
      </w:r>
      <w:r w:rsidRPr="00B62A35">
        <w:t>Choisir la formulation adéquate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413D" w14:textId="0BD601A7" w:rsidR="007B772D" w:rsidRDefault="007B772D" w:rsidP="00392866">
    <w:r>
      <w:t>E</w:t>
    </w:r>
    <w:r w:rsidR="007206F1">
      <w:t>3</w:t>
    </w:r>
    <w:r>
      <w:t xml:space="preserve"> –</w:t>
    </w:r>
    <w:r w:rsidR="00392866">
      <w:t xml:space="preserve"> </w:t>
    </w:r>
    <w:r w:rsidR="007206F1" w:rsidRPr="007206F1">
      <w:t>Exemple de lettre d’affirmation DPEF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C706B"/>
    <w:multiLevelType w:val="hybridMultilevel"/>
    <w:tmpl w:val="766474EA"/>
    <w:lvl w:ilvl="0" w:tplc="A1D4CED0">
      <w:start w:val="1"/>
      <w:numFmt w:val="decimal"/>
      <w:lvlText w:val="%1."/>
      <w:lvlJc w:val="left"/>
      <w:pPr>
        <w:ind w:left="1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EC636CC">
      <w:start w:val="1"/>
      <w:numFmt w:val="lowerLetter"/>
      <w:lvlText w:val="%2"/>
      <w:lvlJc w:val="left"/>
      <w:pPr>
        <w:ind w:left="18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2A91B8">
      <w:start w:val="1"/>
      <w:numFmt w:val="lowerRoman"/>
      <w:lvlText w:val="%3"/>
      <w:lvlJc w:val="left"/>
      <w:pPr>
        <w:ind w:left="2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06D728">
      <w:start w:val="1"/>
      <w:numFmt w:val="decimal"/>
      <w:lvlText w:val="%4"/>
      <w:lvlJc w:val="left"/>
      <w:pPr>
        <w:ind w:left="32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A4AA70">
      <w:start w:val="1"/>
      <w:numFmt w:val="lowerLetter"/>
      <w:lvlText w:val="%5"/>
      <w:lvlJc w:val="left"/>
      <w:pPr>
        <w:ind w:left="40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AE034C">
      <w:start w:val="1"/>
      <w:numFmt w:val="lowerRoman"/>
      <w:lvlText w:val="%6"/>
      <w:lvlJc w:val="left"/>
      <w:pPr>
        <w:ind w:left="4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92147A">
      <w:start w:val="1"/>
      <w:numFmt w:val="decimal"/>
      <w:lvlText w:val="%7"/>
      <w:lvlJc w:val="left"/>
      <w:pPr>
        <w:ind w:left="54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804736">
      <w:start w:val="1"/>
      <w:numFmt w:val="lowerLetter"/>
      <w:lvlText w:val="%8"/>
      <w:lvlJc w:val="left"/>
      <w:pPr>
        <w:ind w:left="61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4322E">
      <w:start w:val="1"/>
      <w:numFmt w:val="lowerRoman"/>
      <w:lvlText w:val="%9"/>
      <w:lvlJc w:val="left"/>
      <w:pPr>
        <w:ind w:left="68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A211F50"/>
    <w:multiLevelType w:val="multilevel"/>
    <w:tmpl w:val="F206615C"/>
    <w:lvl w:ilvl="0">
      <w:start w:val="1"/>
      <w:numFmt w:val="decimal"/>
      <w:pStyle w:val="Titre1"/>
      <w:lvlText w:val="%1"/>
      <w:lvlJc w:val="left"/>
      <w:pPr>
        <w:ind w:left="432" w:hanging="432"/>
      </w:pPr>
      <w:rPr>
        <w:rFonts w:hint="default"/>
      </w:rPr>
    </w:lvl>
    <w:lvl w:ilvl="1">
      <w:start w:val="1"/>
      <w:numFmt w:val="decimal"/>
      <w:pStyle w:val="Titre2"/>
      <w:lvlText w:val="%1.%2"/>
      <w:lvlJc w:val="left"/>
      <w:pPr>
        <w:ind w:left="1144" w:hanging="576"/>
      </w:pPr>
      <w:rPr>
        <w:rFonts w:hint="default"/>
        <w:b w:val="0"/>
      </w:rPr>
    </w:lvl>
    <w:lvl w:ilvl="2">
      <w:start w:val="1"/>
      <w:numFmt w:val="decimal"/>
      <w:pStyle w:val="Titre3"/>
      <w:lvlText w:val="%1.%2%3"/>
      <w:lvlJc w:val="left"/>
      <w:pPr>
        <w:ind w:left="1430" w:hanging="720"/>
      </w:pPr>
      <w:rPr>
        <w:rFonts w:hint="default"/>
      </w:rPr>
    </w:lvl>
    <w:lvl w:ilvl="3">
      <w:start w:val="1"/>
      <w:numFmt w:val="decimal"/>
      <w:pStyle w:val="Titre4"/>
      <w:lvlText w:val="%1.%2%3.%4"/>
      <w:lvlJc w:val="left"/>
      <w:pPr>
        <w:ind w:left="1290"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num w:numId="1" w16cid:durableId="533538084">
    <w:abstractNumId w:val="1"/>
  </w:num>
  <w:num w:numId="2" w16cid:durableId="158259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2D"/>
    <w:rsid w:val="000528BA"/>
    <w:rsid w:val="00116CEA"/>
    <w:rsid w:val="001675BD"/>
    <w:rsid w:val="003646C8"/>
    <w:rsid w:val="00392866"/>
    <w:rsid w:val="00550D61"/>
    <w:rsid w:val="007206F1"/>
    <w:rsid w:val="007B772D"/>
    <w:rsid w:val="00916200"/>
    <w:rsid w:val="00963867"/>
    <w:rsid w:val="00AC75DD"/>
    <w:rsid w:val="00C437C7"/>
    <w:rsid w:val="00E22005"/>
    <w:rsid w:val="00F45D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FF1FC"/>
  <w15:chartTrackingRefBased/>
  <w15:docId w15:val="{064ED143-1CB2-424E-85BF-D1598485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72D"/>
    <w:pPr>
      <w:spacing w:before="100" w:beforeAutospacing="1" w:after="100" w:afterAutospacing="1" w:line="240" w:lineRule="auto"/>
      <w:jc w:val="both"/>
    </w:pPr>
    <w:rPr>
      <w:rFonts w:ascii="Times New Roman" w:eastAsia="Times New Roman" w:hAnsi="Times New Roman" w:cs="Times New Roman"/>
      <w:szCs w:val="20"/>
    </w:rPr>
  </w:style>
  <w:style w:type="paragraph" w:styleId="Titre1">
    <w:name w:val="heading 1"/>
    <w:basedOn w:val="Normal"/>
    <w:next w:val="Normal"/>
    <w:link w:val="Titre1Car"/>
    <w:qFormat/>
    <w:rsid w:val="007B772D"/>
    <w:pPr>
      <w:keepNext/>
      <w:numPr>
        <w:numId w:val="1"/>
      </w:numPr>
      <w:pBdr>
        <w:bottom w:val="single" w:sz="4" w:space="1" w:color="1F497D"/>
      </w:pBdr>
      <w:spacing w:before="120" w:beforeAutospacing="0" w:after="120" w:afterAutospacing="0"/>
      <w:outlineLvl w:val="0"/>
    </w:pPr>
    <w:rPr>
      <w:rFonts w:eastAsia="MS Mincho" w:cs="Arial"/>
      <w:bCs/>
      <w:iCs/>
      <w:caps/>
      <w:color w:val="000080"/>
      <w:kern w:val="32"/>
      <w:szCs w:val="32"/>
      <w:lang w:eastAsia="fr-FR"/>
    </w:rPr>
  </w:style>
  <w:style w:type="paragraph" w:styleId="Titre2">
    <w:name w:val="heading 2"/>
    <w:basedOn w:val="Normal"/>
    <w:next w:val="Normal"/>
    <w:link w:val="Titre2Car"/>
    <w:qFormat/>
    <w:rsid w:val="007B772D"/>
    <w:pPr>
      <w:keepNext/>
      <w:keepLines/>
      <w:numPr>
        <w:ilvl w:val="1"/>
        <w:numId w:val="1"/>
      </w:numPr>
      <w:spacing w:before="120" w:beforeAutospacing="0" w:after="120" w:afterAutospacing="0"/>
      <w:outlineLvl w:val="1"/>
    </w:pPr>
    <w:rPr>
      <w:rFonts w:eastAsiaTheme="majorEastAsia" w:cstheme="majorBidi"/>
      <w:bCs/>
      <w:iCs/>
      <w:szCs w:val="26"/>
    </w:rPr>
  </w:style>
  <w:style w:type="paragraph" w:styleId="Titre3">
    <w:name w:val="heading 3"/>
    <w:basedOn w:val="Normal"/>
    <w:next w:val="Normal"/>
    <w:link w:val="Titre3Car"/>
    <w:qFormat/>
    <w:rsid w:val="007B772D"/>
    <w:pPr>
      <w:keepNext/>
      <w:numPr>
        <w:ilvl w:val="2"/>
        <w:numId w:val="1"/>
      </w:numPr>
      <w:spacing w:before="240" w:after="60"/>
      <w:ind w:left="720"/>
      <w:outlineLvl w:val="2"/>
    </w:pPr>
    <w:rPr>
      <w:rFonts w:cs="Arial"/>
      <w:bCs/>
      <w:color w:val="000080"/>
      <w:szCs w:val="26"/>
    </w:rPr>
  </w:style>
  <w:style w:type="paragraph" w:styleId="Titre4">
    <w:name w:val="heading 4"/>
    <w:basedOn w:val="Normal"/>
    <w:next w:val="Normal"/>
    <w:link w:val="Titre4Car"/>
    <w:qFormat/>
    <w:rsid w:val="007B772D"/>
    <w:pPr>
      <w:keepNext/>
      <w:numPr>
        <w:ilvl w:val="3"/>
        <w:numId w:val="1"/>
      </w:numPr>
      <w:spacing w:before="120" w:beforeAutospacing="0" w:after="120" w:afterAutospacing="0"/>
      <w:ind w:left="2141"/>
      <w:outlineLvl w:val="3"/>
    </w:pPr>
    <w:rPr>
      <w:b/>
      <w:bCs/>
      <w:i/>
      <w:iCs/>
      <w:szCs w:val="28"/>
      <w:lang w:eastAsia="fr-FR"/>
    </w:rPr>
  </w:style>
  <w:style w:type="paragraph" w:styleId="Titre8">
    <w:name w:val="heading 8"/>
    <w:basedOn w:val="Normal"/>
    <w:next w:val="Normal"/>
    <w:link w:val="Titre8Car"/>
    <w:uiPriority w:val="9"/>
    <w:unhideWhenUsed/>
    <w:qFormat/>
    <w:rsid w:val="007B772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nhideWhenUsed/>
    <w:qFormat/>
    <w:rsid w:val="007B772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aliases w:val="ARM footnote Text,Footnote Text Char2,Footnote Text Char11,Footnote Text Char3,Footnote Text Char4,Footnote Text Char5,Footnote Text Char6,Footnote Text Char12,Footnote Text Char21,Footnote New, Char, Cha,C,Char,Cha"/>
    <w:basedOn w:val="Normal"/>
    <w:link w:val="NotedebasdepageCar"/>
    <w:rsid w:val="007B772D"/>
    <w:pPr>
      <w:spacing w:before="0" w:beforeAutospacing="0" w:after="0" w:afterAutospacing="0"/>
    </w:pPr>
    <w:rPr>
      <w:iCs/>
      <w:sz w:val="20"/>
    </w:rPr>
  </w:style>
  <w:style w:type="character" w:customStyle="1" w:styleId="NotedebasdepageCar">
    <w:name w:val="Note de bas de page Car"/>
    <w:aliases w:val="ARM footnote Text Car,Footnote Text Char2 Car,Footnote Text Char11 Car,Footnote Text Char3 Car,Footnote Text Char4 Car,Footnote Text Char5 Car,Footnote Text Char6 Car,Footnote Text Char12 Car,Footnote Text Char21 Car, Char Car"/>
    <w:basedOn w:val="Policepardfaut"/>
    <w:link w:val="Notedebasdepage"/>
    <w:rsid w:val="007B772D"/>
    <w:rPr>
      <w:rFonts w:ascii="Times New Roman" w:eastAsia="Times New Roman" w:hAnsi="Times New Roman" w:cs="Times New Roman"/>
      <w:iCs/>
      <w:sz w:val="20"/>
      <w:szCs w:val="20"/>
    </w:rPr>
  </w:style>
  <w:style w:type="character" w:styleId="Appelnotedebasdep">
    <w:name w:val="footnote reference"/>
    <w:aliases w:val="Footnote reference number,Footnote symbol,note TESI,Footnote Reference"/>
    <w:basedOn w:val="Policepardfaut"/>
    <w:rsid w:val="007B772D"/>
    <w:rPr>
      <w:vertAlign w:val="superscript"/>
    </w:rPr>
  </w:style>
  <w:style w:type="paragraph" w:styleId="Sansinterligne">
    <w:name w:val="No Spacing"/>
    <w:uiPriority w:val="1"/>
    <w:qFormat/>
    <w:rsid w:val="007B772D"/>
    <w:pPr>
      <w:spacing w:after="0" w:line="240" w:lineRule="auto"/>
    </w:pPr>
  </w:style>
  <w:style w:type="paragraph" w:styleId="En-tte">
    <w:name w:val="header"/>
    <w:basedOn w:val="Normal"/>
    <w:link w:val="En-tteCar"/>
    <w:uiPriority w:val="99"/>
    <w:unhideWhenUsed/>
    <w:rsid w:val="007B772D"/>
    <w:pPr>
      <w:tabs>
        <w:tab w:val="center" w:pos="4536"/>
        <w:tab w:val="right" w:pos="9072"/>
      </w:tabs>
      <w:spacing w:before="0" w:after="0"/>
    </w:pPr>
  </w:style>
  <w:style w:type="character" w:customStyle="1" w:styleId="En-tteCar">
    <w:name w:val="En-tête Car"/>
    <w:basedOn w:val="Policepardfaut"/>
    <w:link w:val="En-tte"/>
    <w:uiPriority w:val="99"/>
    <w:rsid w:val="007B772D"/>
    <w:rPr>
      <w:rFonts w:ascii="Times New Roman" w:eastAsia="Times New Roman" w:hAnsi="Times New Roman" w:cs="Times New Roman"/>
      <w:szCs w:val="20"/>
    </w:rPr>
  </w:style>
  <w:style w:type="paragraph" w:styleId="Pieddepage">
    <w:name w:val="footer"/>
    <w:basedOn w:val="Normal"/>
    <w:link w:val="PieddepageCar"/>
    <w:uiPriority w:val="99"/>
    <w:unhideWhenUsed/>
    <w:rsid w:val="007B772D"/>
    <w:pPr>
      <w:tabs>
        <w:tab w:val="center" w:pos="4536"/>
        <w:tab w:val="right" w:pos="9072"/>
      </w:tabs>
      <w:spacing w:before="0" w:after="0"/>
    </w:pPr>
  </w:style>
  <w:style w:type="character" w:customStyle="1" w:styleId="PieddepageCar">
    <w:name w:val="Pied de page Car"/>
    <w:basedOn w:val="Policepardfaut"/>
    <w:link w:val="Pieddepage"/>
    <w:uiPriority w:val="99"/>
    <w:rsid w:val="007B772D"/>
    <w:rPr>
      <w:rFonts w:ascii="Times New Roman" w:eastAsia="Times New Roman" w:hAnsi="Times New Roman" w:cs="Times New Roman"/>
      <w:szCs w:val="20"/>
    </w:rPr>
  </w:style>
  <w:style w:type="character" w:customStyle="1" w:styleId="Titre1Car">
    <w:name w:val="Titre 1 Car"/>
    <w:basedOn w:val="Policepardfaut"/>
    <w:link w:val="Titre1"/>
    <w:rsid w:val="007B772D"/>
    <w:rPr>
      <w:rFonts w:ascii="Times New Roman" w:eastAsia="MS Mincho" w:hAnsi="Times New Roman" w:cs="Arial"/>
      <w:bCs/>
      <w:iCs/>
      <w:caps/>
      <w:color w:val="000080"/>
      <w:kern w:val="32"/>
      <w:szCs w:val="32"/>
      <w:lang w:eastAsia="fr-FR"/>
    </w:rPr>
  </w:style>
  <w:style w:type="character" w:customStyle="1" w:styleId="Titre2Car">
    <w:name w:val="Titre 2 Car"/>
    <w:basedOn w:val="Policepardfaut"/>
    <w:link w:val="Titre2"/>
    <w:rsid w:val="007B772D"/>
    <w:rPr>
      <w:rFonts w:ascii="Times New Roman" w:eastAsiaTheme="majorEastAsia" w:hAnsi="Times New Roman" w:cstheme="majorBidi"/>
      <w:bCs/>
      <w:iCs/>
      <w:szCs w:val="26"/>
    </w:rPr>
  </w:style>
  <w:style w:type="character" w:customStyle="1" w:styleId="Titre3Car">
    <w:name w:val="Titre 3 Car"/>
    <w:basedOn w:val="Policepardfaut"/>
    <w:link w:val="Titre3"/>
    <w:rsid w:val="007B772D"/>
    <w:rPr>
      <w:rFonts w:ascii="Times New Roman" w:eastAsia="Times New Roman" w:hAnsi="Times New Roman" w:cs="Arial"/>
      <w:bCs/>
      <w:color w:val="000080"/>
      <w:szCs w:val="26"/>
    </w:rPr>
  </w:style>
  <w:style w:type="character" w:customStyle="1" w:styleId="Titre4Car">
    <w:name w:val="Titre 4 Car"/>
    <w:basedOn w:val="Policepardfaut"/>
    <w:link w:val="Titre4"/>
    <w:rsid w:val="007B772D"/>
    <w:rPr>
      <w:rFonts w:ascii="Times New Roman" w:eastAsia="Times New Roman" w:hAnsi="Times New Roman" w:cs="Times New Roman"/>
      <w:b/>
      <w:bCs/>
      <w:i/>
      <w:iCs/>
      <w:szCs w:val="28"/>
      <w:lang w:eastAsia="fr-FR"/>
    </w:rPr>
  </w:style>
  <w:style w:type="character" w:customStyle="1" w:styleId="Titre8Car">
    <w:name w:val="Titre 8 Car"/>
    <w:basedOn w:val="Policepardfaut"/>
    <w:link w:val="Titre8"/>
    <w:uiPriority w:val="9"/>
    <w:rsid w:val="007B772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rsid w:val="007B772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4987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3800</Characters>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2023-06-15T14:16:00Z</dcterms:created>
  <dcterms:modified xsi:type="dcterms:W3CDTF">2023-06-22T13:10:00Z</dcterms:modified>
</cp:coreProperties>
</file>